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90" w:rsidRDefault="00036078" w:rsidP="001E4370">
      <w:pPr>
        <w:rPr>
          <w:rFonts w:ascii="Arial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4.8pt;margin-top:-19.2pt;width:209.1pt;height:49.25pt;z-index:251660288;mso-height-percent:200;mso-height-percent:200;mso-width-relative:margin;mso-height-relative:margin" strokecolor="white [3212]">
            <v:textbox style="mso-next-textbox:#_x0000_s1102;mso-fit-shape-to-text:t">
              <w:txbxContent>
                <w:p w:rsidR="001A7B90" w:rsidRDefault="001A7B90">
                  <w:pPr>
                    <w:rPr>
                      <w:lang w:eastAsia="zh-CN"/>
                    </w:rPr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449195" cy="524510"/>
                        <wp:effectExtent l="19050" t="0" r="8255" b="0"/>
                        <wp:docPr id="11" name="图片 196" descr="E:\chenzhenqiu\公司logo\公司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96" descr="E:\chenzhenqiu\公司logo\公司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919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/>
          <w:sz w:val="32"/>
          <w:szCs w:val="32"/>
          <w:lang w:eastAsia="zh-CN"/>
        </w:rPr>
        <w:pict>
          <v:shape id="_x0000_s1103" type="#_x0000_t202" style="position:absolute;margin-left:256.7pt;margin-top:-16.9pt;width:207.4pt;height:46.95pt;z-index:251661312" strokecolor="white [3212]">
            <v:textbox style="mso-next-textbox:#_x0000_s1103">
              <w:txbxContent>
                <w:p w:rsidR="001A7B90" w:rsidRPr="00485660" w:rsidRDefault="001A7B90" w:rsidP="00485660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85660">
                    <w:rPr>
                      <w:rFonts w:ascii="Arial" w:hAnsi="Arial" w:cs="Arial"/>
                      <w:b/>
                      <w:sz w:val="16"/>
                      <w:szCs w:val="16"/>
                    </w:rPr>
                    <w:t>9620 Medical Center Drive, Suite 101</w:t>
                  </w:r>
                </w:p>
                <w:p w:rsidR="001A7B90" w:rsidRPr="00485660" w:rsidRDefault="001A7B90" w:rsidP="00485660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85660">
                    <w:rPr>
                      <w:rFonts w:ascii="Arial" w:hAnsi="Arial" w:cs="Arial"/>
                      <w:b/>
                      <w:sz w:val="16"/>
                      <w:szCs w:val="16"/>
                    </w:rPr>
                    <w:t>Rockville, MD</w:t>
                  </w:r>
                  <w:r w:rsidR="00485660" w:rsidRPr="0048566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85660">
                    <w:rPr>
                      <w:rFonts w:ascii="Arial" w:hAnsi="Arial" w:cs="Arial"/>
                      <w:b/>
                      <w:sz w:val="16"/>
                      <w:szCs w:val="16"/>
                    </w:rPr>
                    <w:t>20850, USA</w:t>
                  </w:r>
                  <w:r w:rsidRPr="00485660"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  <w:t xml:space="preserve"> </w:t>
                  </w:r>
                </w:p>
                <w:p w:rsidR="001A7B90" w:rsidRPr="00485660" w:rsidRDefault="001A7B90" w:rsidP="00485660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</w:pPr>
                  <w:r w:rsidRPr="00485660"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  <w:t>Web: www.genecopoeia.com</w:t>
                  </w:r>
                </w:p>
                <w:p w:rsidR="001A7B90" w:rsidRPr="00485660" w:rsidRDefault="001A7B90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76B17" w:rsidRPr="000D76FC" w:rsidRDefault="00036078" w:rsidP="00216D36">
      <w:pPr>
        <w:spacing w:before="120"/>
        <w:jc w:val="center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noProof/>
          <w:sz w:val="24"/>
          <w:lang w:eastAsia="zh-CN"/>
        </w:rPr>
        <w:pict>
          <v:line id="_x0000_s1099" style="position:absolute;left:0;text-align:left;z-index:251657728" from="-3.15pt,14.35pt" to="469.1pt,14.35pt" strokeweight="3.5pt"/>
        </w:pict>
      </w:r>
    </w:p>
    <w:p w:rsidR="00216D36" w:rsidRPr="00216D36" w:rsidRDefault="00216D36" w:rsidP="001A7B90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216D36">
        <w:rPr>
          <w:rFonts w:ascii="Arial" w:hAnsi="Arial" w:cs="Arial"/>
          <w:b/>
          <w:sz w:val="36"/>
          <w:szCs w:val="36"/>
        </w:rPr>
        <w:t>Product Information</w:t>
      </w:r>
    </w:p>
    <w:p w:rsidR="00216D36" w:rsidRPr="001A4846" w:rsidRDefault="00216D36" w:rsidP="00216D36">
      <w:pPr>
        <w:rPr>
          <w:rFonts w:ascii="Arial" w:hAnsi="Arial" w:cs="Arial"/>
          <w:sz w:val="24"/>
        </w:rPr>
      </w:pPr>
    </w:p>
    <w:p w:rsidR="00216D36" w:rsidRPr="001A4846" w:rsidRDefault="00216D36" w:rsidP="00216D36">
      <w:pPr>
        <w:rPr>
          <w:rFonts w:ascii="Arial" w:hAnsi="Arial" w:cs="Arial"/>
          <w:sz w:val="24"/>
        </w:rPr>
        <w:sectPr w:rsidR="00216D36" w:rsidRPr="001A4846" w:rsidSect="000D76FC">
          <w:footerReference w:type="default" r:id="rId8"/>
          <w:endnotePr>
            <w:numFmt w:val="decimal"/>
          </w:endnotePr>
          <w:pgSz w:w="12240" w:h="15840"/>
          <w:pgMar w:top="1152" w:right="1440" w:bottom="1152" w:left="1440" w:header="720" w:footer="720" w:gutter="0"/>
          <w:cols w:space="720"/>
          <w:noEndnote/>
          <w:docGrid w:linePitch="272"/>
        </w:sectPr>
      </w:pPr>
    </w:p>
    <w:p w:rsidR="00216D36" w:rsidRPr="00AC48E9" w:rsidRDefault="00094F72" w:rsidP="00F6418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Calcein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blue, AM and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Calcein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, AM</w:t>
      </w:r>
    </w:p>
    <w:p w:rsidR="001A4846" w:rsidRPr="00094F72" w:rsidRDefault="001A4846" w:rsidP="00216D36">
      <w:pPr>
        <w:rPr>
          <w:rFonts w:ascii="Arial" w:hAnsi="Arial" w:cs="Arial"/>
          <w:b/>
          <w:sz w:val="16"/>
          <w:szCs w:val="16"/>
        </w:rPr>
      </w:pPr>
    </w:p>
    <w:tbl>
      <w:tblPr>
        <w:tblW w:w="4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890"/>
        <w:gridCol w:w="1260"/>
      </w:tblGrid>
      <w:tr w:rsidR="000848B7" w:rsidRPr="001A4846" w:rsidTr="000848B7">
        <w:tc>
          <w:tcPr>
            <w:tcW w:w="1260" w:type="dxa"/>
          </w:tcPr>
          <w:p w:rsidR="000848B7" w:rsidRPr="001A4846" w:rsidRDefault="000848B7" w:rsidP="001A484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846">
              <w:rPr>
                <w:rFonts w:ascii="Arial" w:hAnsi="Arial" w:cs="Arial"/>
                <w:b/>
                <w:szCs w:val="20"/>
              </w:rPr>
              <w:t>Catalog Number</w:t>
            </w:r>
          </w:p>
        </w:tc>
        <w:tc>
          <w:tcPr>
            <w:tcW w:w="1890" w:type="dxa"/>
          </w:tcPr>
          <w:p w:rsidR="000848B7" w:rsidRPr="001A4846" w:rsidRDefault="000848B7" w:rsidP="001A484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Product Name</w:t>
            </w:r>
          </w:p>
        </w:tc>
        <w:tc>
          <w:tcPr>
            <w:tcW w:w="1260" w:type="dxa"/>
          </w:tcPr>
          <w:p w:rsidR="000848B7" w:rsidRPr="001A4846" w:rsidRDefault="000848B7" w:rsidP="001A484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</w:t>
            </w:r>
            <w:r w:rsidRPr="001A4846">
              <w:rPr>
                <w:rFonts w:ascii="Arial" w:hAnsi="Arial" w:cs="Arial"/>
                <w:b/>
                <w:szCs w:val="20"/>
              </w:rPr>
              <w:t xml:space="preserve"> Size</w:t>
            </w:r>
          </w:p>
        </w:tc>
      </w:tr>
      <w:tr w:rsidR="000848B7" w:rsidRPr="001A4846" w:rsidTr="00485660">
        <w:trPr>
          <w:trHeight w:val="233"/>
        </w:trPr>
        <w:tc>
          <w:tcPr>
            <w:tcW w:w="1260" w:type="dxa"/>
            <w:vAlign w:val="center"/>
          </w:tcPr>
          <w:p w:rsidR="000848B7" w:rsidRPr="00094F72" w:rsidRDefault="000848B7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F72">
              <w:rPr>
                <w:rFonts w:ascii="Arial" w:hAnsi="Arial" w:cs="Arial"/>
                <w:b/>
                <w:sz w:val="16"/>
                <w:szCs w:val="16"/>
              </w:rPr>
              <w:t>C0</w:t>
            </w:r>
            <w:r w:rsidR="00094F72" w:rsidRPr="00094F72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890" w:type="dxa"/>
            <w:vAlign w:val="center"/>
          </w:tcPr>
          <w:p w:rsidR="000848B7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94F72">
              <w:rPr>
                <w:rFonts w:ascii="Arial" w:hAnsi="Arial" w:cs="Arial"/>
                <w:b/>
                <w:color w:val="000000"/>
                <w:sz w:val="16"/>
                <w:szCs w:val="16"/>
              </w:rPr>
              <w:t>Calcein</w:t>
            </w:r>
            <w:proofErr w:type="spellEnd"/>
            <w:r w:rsidRPr="00094F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blue, AM</w:t>
            </w:r>
          </w:p>
        </w:tc>
        <w:tc>
          <w:tcPr>
            <w:tcW w:w="1260" w:type="dxa"/>
            <w:vAlign w:val="center"/>
          </w:tcPr>
          <w:p w:rsidR="000848B7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F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848B7" w:rsidRPr="00094F72">
              <w:rPr>
                <w:rFonts w:ascii="Arial" w:hAnsi="Arial" w:cs="Arial"/>
                <w:b/>
                <w:sz w:val="16"/>
                <w:szCs w:val="16"/>
              </w:rPr>
              <w:t xml:space="preserve"> mg</w:t>
            </w:r>
          </w:p>
        </w:tc>
      </w:tr>
      <w:tr w:rsidR="00094F72" w:rsidRPr="001A4846" w:rsidTr="00485660">
        <w:trPr>
          <w:trHeight w:val="251"/>
        </w:trPr>
        <w:tc>
          <w:tcPr>
            <w:tcW w:w="1260" w:type="dxa"/>
            <w:vAlign w:val="center"/>
          </w:tcPr>
          <w:p w:rsidR="00094F72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F72">
              <w:rPr>
                <w:rFonts w:ascii="Arial" w:hAnsi="Arial" w:cs="Arial"/>
                <w:b/>
                <w:sz w:val="16"/>
                <w:szCs w:val="16"/>
              </w:rPr>
              <w:t>C02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90" w:type="dxa"/>
            <w:vAlign w:val="center"/>
          </w:tcPr>
          <w:p w:rsidR="00094F72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94F72">
              <w:rPr>
                <w:rFonts w:ascii="Arial" w:hAnsi="Arial" w:cs="Arial"/>
                <w:b/>
                <w:color w:val="000000"/>
                <w:sz w:val="16"/>
                <w:szCs w:val="16"/>
              </w:rPr>
              <w:t>Calcein</w:t>
            </w:r>
            <w:proofErr w:type="spellEnd"/>
            <w:r w:rsidRPr="00094F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blue, AM</w:t>
            </w:r>
          </w:p>
        </w:tc>
        <w:tc>
          <w:tcPr>
            <w:tcW w:w="1260" w:type="dxa"/>
            <w:vAlign w:val="center"/>
          </w:tcPr>
          <w:p w:rsidR="00094F72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</w:t>
            </w:r>
            <w:r w:rsidRPr="0009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4F72">
              <w:rPr>
                <w:rFonts w:ascii="Symbol" w:hAnsi="Symbol" w:cs="Arial"/>
                <w:b/>
                <w:sz w:val="16"/>
                <w:szCs w:val="16"/>
              </w:rPr>
              <w:t>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094F72" w:rsidRPr="001A4846" w:rsidTr="00485660">
        <w:trPr>
          <w:trHeight w:val="269"/>
        </w:trPr>
        <w:tc>
          <w:tcPr>
            <w:tcW w:w="1260" w:type="dxa"/>
            <w:vAlign w:val="center"/>
          </w:tcPr>
          <w:p w:rsidR="00094F72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F72">
              <w:rPr>
                <w:rFonts w:ascii="Arial" w:hAnsi="Arial" w:cs="Arial"/>
                <w:b/>
                <w:sz w:val="16"/>
                <w:szCs w:val="16"/>
              </w:rPr>
              <w:t>C02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90" w:type="dxa"/>
            <w:vAlign w:val="center"/>
          </w:tcPr>
          <w:p w:rsidR="00094F72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94F72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alcein</w:t>
            </w:r>
            <w:proofErr w:type="spellEnd"/>
            <w:r w:rsidRPr="00094F72">
              <w:rPr>
                <w:rFonts w:ascii="Arial" w:hAnsi="Arial" w:cs="Arial"/>
                <w:b/>
                <w:color w:val="000000"/>
                <w:sz w:val="16"/>
                <w:szCs w:val="16"/>
              </w:rPr>
              <w:t>, AM</w:t>
            </w:r>
          </w:p>
        </w:tc>
        <w:tc>
          <w:tcPr>
            <w:tcW w:w="1260" w:type="dxa"/>
            <w:vAlign w:val="center"/>
          </w:tcPr>
          <w:p w:rsidR="00094F72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F72">
              <w:rPr>
                <w:rFonts w:ascii="Arial" w:hAnsi="Arial" w:cs="Arial"/>
                <w:b/>
                <w:sz w:val="16"/>
                <w:szCs w:val="16"/>
              </w:rPr>
              <w:t>1 mg</w:t>
            </w:r>
          </w:p>
        </w:tc>
      </w:tr>
      <w:tr w:rsidR="00094F72" w:rsidRPr="001A4846" w:rsidTr="00485660">
        <w:trPr>
          <w:trHeight w:val="251"/>
        </w:trPr>
        <w:tc>
          <w:tcPr>
            <w:tcW w:w="1260" w:type="dxa"/>
            <w:vAlign w:val="center"/>
          </w:tcPr>
          <w:p w:rsidR="00094F72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F72">
              <w:rPr>
                <w:rFonts w:ascii="Arial" w:hAnsi="Arial" w:cs="Arial"/>
                <w:b/>
                <w:sz w:val="16"/>
                <w:szCs w:val="16"/>
              </w:rPr>
              <w:t>C02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90" w:type="dxa"/>
            <w:vAlign w:val="center"/>
          </w:tcPr>
          <w:p w:rsidR="00094F72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94F72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alcein</w:t>
            </w:r>
            <w:proofErr w:type="spellEnd"/>
            <w:r w:rsidRPr="00094F72">
              <w:rPr>
                <w:rFonts w:ascii="Arial" w:hAnsi="Arial" w:cs="Arial"/>
                <w:b/>
                <w:color w:val="000000"/>
                <w:sz w:val="16"/>
                <w:szCs w:val="16"/>
              </w:rPr>
              <w:t>, AM</w:t>
            </w:r>
          </w:p>
        </w:tc>
        <w:tc>
          <w:tcPr>
            <w:tcW w:w="1260" w:type="dxa"/>
            <w:vAlign w:val="center"/>
          </w:tcPr>
          <w:p w:rsidR="00094F72" w:rsidRPr="00094F72" w:rsidRDefault="00094F72" w:rsidP="00485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</w:t>
            </w:r>
            <w:r w:rsidRPr="0009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4F72">
              <w:rPr>
                <w:rFonts w:ascii="Symbol" w:hAnsi="Symbol" w:cs="Arial"/>
                <w:b/>
                <w:sz w:val="16"/>
                <w:szCs w:val="16"/>
              </w:rPr>
              <w:t>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</w:tbl>
    <w:p w:rsidR="001A4846" w:rsidRPr="001A4846" w:rsidRDefault="00036078" w:rsidP="00216D36">
      <w:pPr>
        <w:rPr>
          <w:rFonts w:ascii="Arial" w:hAnsi="Arial" w:cs="Arial"/>
          <w:b/>
          <w:szCs w:val="20"/>
        </w:rPr>
      </w:pPr>
      <w:r w:rsidRPr="00036078">
        <w:rPr>
          <w:rFonts w:ascii="Arial" w:hAnsi="Arial" w:cs="Arial"/>
          <w:b/>
          <w:noProof/>
          <w:sz w:val="24"/>
          <w:lang w:eastAsia="zh-CN"/>
        </w:rPr>
        <w:pict>
          <v:shape id="_x0000_s1066" type="#_x0000_t202" style="position:absolute;margin-left:1.25pt;margin-top:7.8pt;width:218.25pt;height:41.95pt;z-index:251656704;mso-position-horizontal-relative:text;mso-position-vertical-relative:text">
            <v:shadow opacity=".5" offset="6pt,6pt"/>
            <v:textbox style="mso-next-textbox:#_x0000_s1066">
              <w:txbxContent>
                <w:p w:rsidR="00216D36" w:rsidRPr="001A4846" w:rsidRDefault="00216D36" w:rsidP="00216D36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1A4846">
                    <w:rPr>
                      <w:rFonts w:ascii="Arial" w:hAnsi="Arial" w:cs="Arial"/>
                      <w:b/>
                      <w:szCs w:val="20"/>
                    </w:rPr>
                    <w:t>Storage upon receipt:</w:t>
                  </w:r>
                </w:p>
                <w:p w:rsidR="00216D36" w:rsidRDefault="001A4846" w:rsidP="00216D3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-2</w:t>
                  </w:r>
                  <w:r w:rsidR="008A612A">
                    <w:rPr>
                      <w:rFonts w:ascii="Arial" w:hAnsi="Arial" w:cs="Arial"/>
                      <w:szCs w:val="20"/>
                    </w:rPr>
                    <w:t>0</w:t>
                  </w:r>
                  <w:r w:rsidR="00216D36" w:rsidRPr="001A4846">
                    <w:rPr>
                      <w:rFonts w:ascii="Arial" w:hAnsi="Arial" w:cs="Arial"/>
                      <w:szCs w:val="20"/>
                    </w:rPr>
                    <w:t>°C</w:t>
                  </w:r>
                </w:p>
                <w:p w:rsidR="002530AF" w:rsidRPr="001A4846" w:rsidRDefault="002530AF" w:rsidP="002530A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 w:rsidRPr="001A4846">
                    <w:rPr>
                      <w:rFonts w:ascii="Arial" w:hAnsi="Arial" w:cs="Arial"/>
                      <w:szCs w:val="20"/>
                    </w:rPr>
                    <w:t>Protect from light</w:t>
                  </w:r>
                </w:p>
              </w:txbxContent>
            </v:textbox>
          </v:shape>
        </w:pict>
      </w: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216D36" w:rsidRPr="001A4846" w:rsidRDefault="00216D36" w:rsidP="00AC48E9">
      <w:pPr>
        <w:spacing w:after="120"/>
        <w:rPr>
          <w:rFonts w:ascii="Arial" w:hAnsi="Arial" w:cs="Arial"/>
          <w:b/>
          <w:szCs w:val="20"/>
        </w:rPr>
      </w:pPr>
      <w:r w:rsidRPr="001A4846">
        <w:rPr>
          <w:rFonts w:ascii="Arial" w:hAnsi="Arial" w:cs="Arial"/>
          <w:b/>
          <w:szCs w:val="20"/>
        </w:rPr>
        <w:t>Product Description</w:t>
      </w:r>
    </w:p>
    <w:p w:rsidR="00094F72" w:rsidRPr="00094F72" w:rsidRDefault="00094F72" w:rsidP="00094F72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094F72">
        <w:rPr>
          <w:rFonts w:ascii="Arial" w:hAnsi="Arial" w:cs="Arial"/>
          <w:sz w:val="16"/>
          <w:szCs w:val="16"/>
          <w:lang w:eastAsia="zh-CN"/>
        </w:rPr>
        <w:t xml:space="preserve">The </w:t>
      </w:r>
      <w:proofErr w:type="spellStart"/>
      <w:r w:rsidRPr="00094F72">
        <w:rPr>
          <w:rFonts w:ascii="Arial" w:hAnsi="Arial" w:cs="Arial"/>
          <w:sz w:val="16"/>
          <w:szCs w:val="16"/>
          <w:lang w:eastAsia="zh-CN"/>
        </w:rPr>
        <w:t>acetoxymethyl</w:t>
      </w:r>
      <w:proofErr w:type="spellEnd"/>
      <w:r w:rsidRPr="00094F72">
        <w:rPr>
          <w:rFonts w:ascii="Arial" w:hAnsi="Arial" w:cs="Arial"/>
          <w:sz w:val="16"/>
          <w:szCs w:val="16"/>
          <w:lang w:eastAsia="zh-CN"/>
        </w:rPr>
        <w:t xml:space="preserve"> (AM) ester deriva</w:t>
      </w:r>
      <w:r>
        <w:rPr>
          <w:rFonts w:ascii="Arial" w:hAnsi="Arial" w:cs="Arial"/>
          <w:sz w:val="16"/>
          <w:szCs w:val="16"/>
          <w:lang w:eastAsia="zh-CN"/>
        </w:rPr>
        <w:t xml:space="preserve">tives of fluorescent indicators </w:t>
      </w:r>
      <w:r w:rsidRPr="00094F72">
        <w:rPr>
          <w:rFonts w:ascii="Arial" w:hAnsi="Arial" w:cs="Arial"/>
          <w:sz w:val="16"/>
          <w:szCs w:val="16"/>
          <w:lang w:eastAsia="zh-CN"/>
        </w:rPr>
        <w:t xml:space="preserve">and </w:t>
      </w:r>
      <w:proofErr w:type="spellStart"/>
      <w:r w:rsidRPr="00094F72">
        <w:rPr>
          <w:rFonts w:ascii="Arial" w:hAnsi="Arial" w:cs="Arial"/>
          <w:sz w:val="16"/>
          <w:szCs w:val="16"/>
          <w:lang w:eastAsia="zh-CN"/>
        </w:rPr>
        <w:t>chelators</w:t>
      </w:r>
      <w:proofErr w:type="spellEnd"/>
      <w:r w:rsidRPr="00094F72">
        <w:rPr>
          <w:rFonts w:ascii="Arial" w:hAnsi="Arial" w:cs="Arial"/>
          <w:sz w:val="16"/>
          <w:szCs w:val="16"/>
          <w:lang w:eastAsia="zh-CN"/>
        </w:rPr>
        <w:t xml:space="preserve"> make up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>one of the most useful groups of compounds for the study of live cells. Modification</w:t>
      </w:r>
      <w:r>
        <w:rPr>
          <w:rFonts w:ascii="Arial" w:hAnsi="Arial" w:cs="Arial"/>
          <w:sz w:val="16"/>
          <w:szCs w:val="16"/>
          <w:lang w:eastAsia="zh-CN"/>
        </w:rPr>
        <w:t xml:space="preserve"> of carboxylic </w:t>
      </w:r>
      <w:r w:rsidRPr="00094F72">
        <w:rPr>
          <w:rFonts w:ascii="Arial" w:hAnsi="Arial" w:cs="Arial"/>
          <w:sz w:val="16"/>
          <w:szCs w:val="16"/>
          <w:lang w:eastAsia="zh-CN"/>
        </w:rPr>
        <w:t xml:space="preserve">acids with AM ester groups results in an uncharged </w:t>
      </w:r>
      <w:r>
        <w:rPr>
          <w:rFonts w:ascii="Arial" w:hAnsi="Arial" w:cs="Arial"/>
          <w:sz w:val="16"/>
          <w:szCs w:val="16"/>
          <w:lang w:eastAsia="zh-CN"/>
        </w:rPr>
        <w:t xml:space="preserve">molecule that can permeate cell </w:t>
      </w:r>
      <w:r w:rsidRPr="00094F72">
        <w:rPr>
          <w:rFonts w:ascii="Arial" w:hAnsi="Arial" w:cs="Arial"/>
          <w:sz w:val="16"/>
          <w:szCs w:val="16"/>
          <w:lang w:eastAsia="zh-CN"/>
        </w:rPr>
        <w:t xml:space="preserve">membranes. Once inside the cell, the </w:t>
      </w:r>
      <w:proofErr w:type="spellStart"/>
      <w:r w:rsidRPr="00094F72">
        <w:rPr>
          <w:rFonts w:ascii="Arial" w:hAnsi="Arial" w:cs="Arial"/>
          <w:sz w:val="16"/>
          <w:szCs w:val="16"/>
          <w:lang w:eastAsia="zh-CN"/>
        </w:rPr>
        <w:t>lipophilic</w:t>
      </w:r>
      <w:proofErr w:type="spellEnd"/>
      <w:r w:rsidRPr="00094F72">
        <w:rPr>
          <w:rFonts w:ascii="Arial" w:hAnsi="Arial" w:cs="Arial"/>
          <w:sz w:val="16"/>
          <w:szCs w:val="16"/>
          <w:lang w:eastAsia="zh-CN"/>
        </w:rPr>
        <w:t xml:space="preserve"> blocking groups are cleaved by nonspecific</w:t>
      </w:r>
    </w:p>
    <w:p w:rsidR="00F64186" w:rsidRPr="00094F72" w:rsidRDefault="00094F72" w:rsidP="00094F72">
      <w:pPr>
        <w:widowControl/>
        <w:rPr>
          <w:rFonts w:ascii="Arial" w:hAnsi="Arial" w:cs="Arial"/>
          <w:sz w:val="16"/>
          <w:szCs w:val="16"/>
          <w:lang w:eastAsia="zh-CN"/>
        </w:rPr>
      </w:pPr>
      <w:proofErr w:type="spellStart"/>
      <w:proofErr w:type="gramStart"/>
      <w:r>
        <w:rPr>
          <w:rFonts w:ascii="Arial" w:hAnsi="Arial" w:cs="Arial"/>
          <w:sz w:val="16"/>
          <w:szCs w:val="16"/>
          <w:lang w:eastAsia="zh-CN"/>
        </w:rPr>
        <w:t>esterases</w:t>
      </w:r>
      <w:proofErr w:type="spellEnd"/>
      <w:proofErr w:type="gramEnd"/>
      <w:r>
        <w:rPr>
          <w:rFonts w:ascii="Arial" w:hAnsi="Arial" w:cs="Arial"/>
          <w:sz w:val="16"/>
          <w:szCs w:val="16"/>
          <w:lang w:eastAsia="zh-CN"/>
        </w:rPr>
        <w:t xml:space="preserve">, </w:t>
      </w:r>
      <w:r w:rsidRPr="00094F72">
        <w:rPr>
          <w:rFonts w:ascii="Arial" w:hAnsi="Arial" w:cs="Arial"/>
          <w:sz w:val="16"/>
          <w:szCs w:val="16"/>
          <w:lang w:eastAsia="zh-CN"/>
        </w:rPr>
        <w:t>resulting in a charged form that leaks out of cells far more slowly than its parent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>c</w:t>
      </w:r>
      <w:r>
        <w:rPr>
          <w:rFonts w:ascii="Arial" w:hAnsi="Arial" w:cs="Arial"/>
          <w:sz w:val="16"/>
          <w:szCs w:val="16"/>
          <w:lang w:eastAsia="zh-CN"/>
        </w:rPr>
        <w:t xml:space="preserve">ompound. Frequently, hydrolysis </w:t>
      </w:r>
      <w:r w:rsidRPr="00094F72">
        <w:rPr>
          <w:rFonts w:ascii="Arial" w:hAnsi="Arial" w:cs="Arial"/>
          <w:sz w:val="16"/>
          <w:szCs w:val="16"/>
          <w:lang w:eastAsia="zh-CN"/>
        </w:rPr>
        <w:t xml:space="preserve">of the </w:t>
      </w:r>
      <w:proofErr w:type="spellStart"/>
      <w:r w:rsidRPr="00094F72">
        <w:rPr>
          <w:rFonts w:ascii="Arial" w:hAnsi="Arial" w:cs="Arial"/>
          <w:sz w:val="16"/>
          <w:szCs w:val="16"/>
          <w:lang w:eastAsia="zh-CN"/>
        </w:rPr>
        <w:t>esterified</w:t>
      </w:r>
      <w:proofErr w:type="spellEnd"/>
      <w:r w:rsidRPr="00094F72">
        <w:rPr>
          <w:rFonts w:ascii="Arial" w:hAnsi="Arial" w:cs="Arial"/>
          <w:sz w:val="16"/>
          <w:szCs w:val="16"/>
          <w:lang w:eastAsia="zh-CN"/>
        </w:rPr>
        <w:t xml:space="preserve"> groups is esse</w:t>
      </w:r>
      <w:r>
        <w:rPr>
          <w:rFonts w:ascii="Arial" w:hAnsi="Arial" w:cs="Arial"/>
          <w:sz w:val="16"/>
          <w:szCs w:val="16"/>
          <w:lang w:eastAsia="zh-CN"/>
        </w:rPr>
        <w:t xml:space="preserve">ntial for binding of the target </w:t>
      </w:r>
      <w:r w:rsidRPr="00094F72">
        <w:rPr>
          <w:rFonts w:ascii="Arial" w:hAnsi="Arial" w:cs="Arial"/>
          <w:sz w:val="16"/>
          <w:szCs w:val="16"/>
          <w:lang w:eastAsia="zh-CN"/>
        </w:rPr>
        <w:t xml:space="preserve">ion. In some cases (e.g., </w:t>
      </w:r>
      <w:proofErr w:type="spellStart"/>
      <w:r w:rsidRPr="00094F72">
        <w:rPr>
          <w:rFonts w:ascii="Arial" w:hAnsi="Arial" w:cs="Arial"/>
          <w:sz w:val="16"/>
          <w:szCs w:val="16"/>
          <w:lang w:eastAsia="zh-CN"/>
        </w:rPr>
        <w:t>calcein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AM), the AM ester is colorless </w:t>
      </w:r>
      <w:r w:rsidRPr="00094F72">
        <w:rPr>
          <w:rFonts w:ascii="Arial" w:hAnsi="Arial" w:cs="Arial"/>
          <w:sz w:val="16"/>
          <w:szCs w:val="16"/>
          <w:lang w:eastAsia="zh-CN"/>
        </w:rPr>
        <w:t xml:space="preserve">and </w:t>
      </w:r>
      <w:proofErr w:type="spellStart"/>
      <w:r w:rsidRPr="00094F72">
        <w:rPr>
          <w:rFonts w:ascii="Arial" w:hAnsi="Arial" w:cs="Arial"/>
          <w:sz w:val="16"/>
          <w:szCs w:val="16"/>
          <w:lang w:eastAsia="zh-CN"/>
        </w:rPr>
        <w:t>nonfluorescent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>until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>hydrolyzed.</w:t>
      </w:r>
      <w:r>
        <w:rPr>
          <w:rFonts w:ascii="Arial" w:hAnsi="Arial" w:cs="Arial"/>
          <w:sz w:val="16"/>
          <w:szCs w:val="16"/>
          <w:lang w:eastAsia="zh-CN"/>
        </w:rPr>
        <w:t xml:space="preserve"> This property is useful in </w:t>
      </w:r>
      <w:r w:rsidRPr="00094F72">
        <w:rPr>
          <w:rFonts w:ascii="Arial" w:hAnsi="Arial" w:cs="Arial"/>
          <w:sz w:val="16"/>
          <w:szCs w:val="16"/>
          <w:lang w:eastAsia="zh-CN"/>
        </w:rPr>
        <w:t>diagnosing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>spontaneous hydrolysis</w:t>
      </w:r>
      <w:r>
        <w:rPr>
          <w:rFonts w:ascii="Arial" w:hAnsi="Arial" w:cs="Arial"/>
          <w:sz w:val="16"/>
          <w:szCs w:val="16"/>
          <w:lang w:eastAsia="zh-CN"/>
        </w:rPr>
        <w:t xml:space="preserve"> during storage. </w:t>
      </w:r>
      <w:r w:rsidRPr="00094F72">
        <w:rPr>
          <w:rFonts w:ascii="Arial" w:hAnsi="Arial" w:cs="Arial"/>
          <w:sz w:val="16"/>
          <w:szCs w:val="16"/>
          <w:lang w:eastAsia="zh-CN"/>
        </w:rPr>
        <w:t>Acetate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>groups, used on many fluorescent indicators, are analogous to AM ester groups and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>should be treated similarly.</w:t>
      </w:r>
    </w:p>
    <w:p w:rsidR="00AC48E9" w:rsidRPr="00F64186" w:rsidRDefault="00AC48E9" w:rsidP="00AC48E9">
      <w:pPr>
        <w:rPr>
          <w:rFonts w:ascii="Arial" w:hAnsi="Arial" w:cs="Arial"/>
          <w:sz w:val="16"/>
          <w:szCs w:val="16"/>
        </w:rPr>
      </w:pPr>
    </w:p>
    <w:p w:rsidR="00C3096A" w:rsidRPr="00094F72" w:rsidRDefault="00094F72" w:rsidP="00C3096A">
      <w:pPr>
        <w:spacing w:after="60"/>
        <w:rPr>
          <w:rFonts w:ascii="Arial" w:hAnsi="Arial" w:cs="Arial"/>
          <w:b/>
          <w:bCs/>
          <w:szCs w:val="20"/>
          <w:lang w:eastAsia="zh-CN"/>
        </w:rPr>
      </w:pPr>
      <w:r w:rsidRPr="00094F72">
        <w:rPr>
          <w:rFonts w:ascii="Arial" w:hAnsi="Arial" w:cs="Arial"/>
          <w:b/>
          <w:bCs/>
          <w:szCs w:val="20"/>
          <w:lang w:eastAsia="zh-CN"/>
        </w:rPr>
        <w:t>Guidelines for Use</w:t>
      </w:r>
    </w:p>
    <w:p w:rsidR="00094F72" w:rsidRPr="00094F72" w:rsidRDefault="00094F72" w:rsidP="003B44D7">
      <w:pPr>
        <w:spacing w:after="60"/>
        <w:rPr>
          <w:rFonts w:ascii="Arial" w:hAnsi="Arial" w:cs="Arial"/>
          <w:b/>
          <w:bCs/>
          <w:sz w:val="16"/>
          <w:szCs w:val="16"/>
          <w:lang w:eastAsia="zh-CN"/>
        </w:rPr>
      </w:pPr>
      <w:r w:rsidRPr="00094F72">
        <w:rPr>
          <w:rFonts w:ascii="Arial" w:hAnsi="Arial" w:cs="Arial"/>
          <w:b/>
          <w:bCs/>
          <w:sz w:val="16"/>
          <w:szCs w:val="16"/>
          <w:lang w:eastAsia="zh-CN"/>
        </w:rPr>
        <w:t>Preparing the Stock Solutions</w:t>
      </w:r>
    </w:p>
    <w:p w:rsidR="00094F72" w:rsidRPr="00094F72" w:rsidRDefault="00094F72" w:rsidP="003B44D7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94F72">
        <w:rPr>
          <w:rFonts w:ascii="Arial" w:hAnsi="Arial" w:cs="Arial"/>
          <w:sz w:val="16"/>
          <w:szCs w:val="16"/>
          <w:lang w:eastAsia="zh-CN"/>
        </w:rPr>
        <w:t>AM or acetate esters should be</w:t>
      </w:r>
      <w:r>
        <w:rPr>
          <w:rFonts w:ascii="Arial" w:hAnsi="Arial" w:cs="Arial"/>
          <w:sz w:val="16"/>
          <w:szCs w:val="16"/>
          <w:lang w:eastAsia="zh-CN"/>
        </w:rPr>
        <w:t xml:space="preserve"> reconstituted only as required </w:t>
      </w:r>
      <w:r w:rsidRPr="00094F72">
        <w:rPr>
          <w:rFonts w:ascii="Arial" w:hAnsi="Arial" w:cs="Arial"/>
          <w:sz w:val="16"/>
          <w:szCs w:val="16"/>
          <w:lang w:eastAsia="zh-CN"/>
        </w:rPr>
        <w:t>using high-quality, anhydrous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 w:rsidRPr="00094F72">
        <w:rPr>
          <w:rFonts w:ascii="Arial" w:hAnsi="Arial" w:cs="Arial"/>
          <w:sz w:val="16"/>
          <w:szCs w:val="16"/>
          <w:lang w:eastAsia="zh-CN"/>
        </w:rPr>
        <w:t>dimethylsulfoxide</w:t>
      </w:r>
      <w:proofErr w:type="spellEnd"/>
      <w:r w:rsidRPr="00094F72">
        <w:rPr>
          <w:rFonts w:ascii="Arial" w:hAnsi="Arial" w:cs="Arial"/>
          <w:sz w:val="16"/>
          <w:szCs w:val="16"/>
          <w:lang w:eastAsia="zh-CN"/>
        </w:rPr>
        <w:t xml:space="preserve"> (DMSO). Reagent-grade DMSO should be stored well sealed under argon</w:t>
      </w:r>
      <w:r>
        <w:rPr>
          <w:rFonts w:ascii="Arial" w:hAnsi="Arial" w:cs="Arial"/>
          <w:sz w:val="16"/>
          <w:szCs w:val="16"/>
          <w:lang w:eastAsia="zh-CN"/>
        </w:rPr>
        <w:t xml:space="preserve"> or nitrogen, and desiccated.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 xml:space="preserve">Dissolution of the pure </w:t>
      </w:r>
      <w:proofErr w:type="gramStart"/>
      <w:r w:rsidRPr="00094F72">
        <w:rPr>
          <w:rFonts w:ascii="Arial" w:hAnsi="Arial" w:cs="Arial"/>
          <w:sz w:val="16"/>
          <w:szCs w:val="16"/>
          <w:lang w:eastAsia="zh-CN"/>
        </w:rPr>
        <w:t>AM</w:t>
      </w:r>
      <w:proofErr w:type="gramEnd"/>
      <w:r w:rsidRPr="00094F72">
        <w:rPr>
          <w:rFonts w:ascii="Arial" w:hAnsi="Arial" w:cs="Arial"/>
          <w:sz w:val="16"/>
          <w:szCs w:val="16"/>
          <w:lang w:eastAsia="zh-CN"/>
        </w:rPr>
        <w:t xml:space="preserve"> or acetate esters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>in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 DMSO may be slow (particularly </w:t>
      </w:r>
      <w:r w:rsidRPr="00094F72">
        <w:rPr>
          <w:rFonts w:ascii="Arial" w:hAnsi="Arial" w:cs="Arial"/>
          <w:sz w:val="16"/>
          <w:szCs w:val="16"/>
          <w:lang w:eastAsia="zh-CN"/>
        </w:rPr>
        <w:t>in the 1 mg sizes). Once prepared, DMSO stock solutions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 of AM or acetate esters should </w:t>
      </w:r>
      <w:r w:rsidRPr="00094F72">
        <w:rPr>
          <w:rFonts w:ascii="Arial" w:hAnsi="Arial" w:cs="Arial"/>
          <w:sz w:val="16"/>
          <w:szCs w:val="16"/>
          <w:lang w:eastAsia="zh-CN"/>
        </w:rPr>
        <w:t>preferably be used within a short time period for one series of experiments.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 DMSO stock </w:t>
      </w:r>
      <w:r w:rsidRPr="00094F72">
        <w:rPr>
          <w:rFonts w:ascii="Arial" w:hAnsi="Arial" w:cs="Arial"/>
          <w:sz w:val="16"/>
          <w:szCs w:val="16"/>
          <w:lang w:eastAsia="zh-CN"/>
        </w:rPr>
        <w:t>solutions must be kept anhydrous,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>since the solvent will readi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ly take up moisture, leading to </w:t>
      </w:r>
      <w:r w:rsidRPr="00094F72">
        <w:rPr>
          <w:rFonts w:ascii="Arial" w:hAnsi="Arial" w:cs="Arial"/>
          <w:sz w:val="16"/>
          <w:szCs w:val="16"/>
          <w:lang w:eastAsia="zh-CN"/>
        </w:rPr>
        <w:t xml:space="preserve">decomposition of the dye. These stock solutions should be 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stored well sealed, frozen, and </w:t>
      </w:r>
      <w:r w:rsidRPr="00094F72">
        <w:rPr>
          <w:rFonts w:ascii="Arial" w:hAnsi="Arial" w:cs="Arial"/>
          <w:sz w:val="16"/>
          <w:szCs w:val="16"/>
          <w:lang w:eastAsia="zh-CN"/>
        </w:rPr>
        <w:t>desiccated.</w:t>
      </w:r>
    </w:p>
    <w:p w:rsidR="00094F72" w:rsidRPr="00B546F6" w:rsidRDefault="00094F72" w:rsidP="003B44D7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94F72">
        <w:rPr>
          <w:rFonts w:ascii="Arial" w:hAnsi="Arial" w:cs="Arial"/>
          <w:sz w:val="16"/>
          <w:szCs w:val="16"/>
          <w:lang w:eastAsia="zh-CN"/>
        </w:rPr>
        <w:t>It is a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dvisable to keep the AM ester or </w:t>
      </w:r>
      <w:r w:rsidRPr="00094F72">
        <w:rPr>
          <w:rFonts w:ascii="Arial" w:hAnsi="Arial" w:cs="Arial"/>
          <w:sz w:val="16"/>
          <w:szCs w:val="16"/>
          <w:lang w:eastAsia="zh-CN"/>
        </w:rPr>
        <w:t>a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cetate ester in as concentrated </w:t>
      </w:r>
      <w:r w:rsidRPr="00094F72">
        <w:rPr>
          <w:rFonts w:ascii="Arial" w:hAnsi="Arial" w:cs="Arial"/>
          <w:sz w:val="16"/>
          <w:szCs w:val="16"/>
          <w:lang w:eastAsia="zh-CN"/>
        </w:rPr>
        <w:t>a stock as possible so that</w:t>
      </w:r>
      <w:r w:rsidR="00B546F6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94F72">
        <w:rPr>
          <w:rFonts w:ascii="Arial" w:hAnsi="Arial" w:cs="Arial"/>
          <w:sz w:val="16"/>
          <w:szCs w:val="16"/>
          <w:lang w:eastAsia="zh-CN"/>
        </w:rPr>
        <w:t>minimal amounts (ideally ≤ 0.1%) of DMSO are present in the loading solution.</w:t>
      </w:r>
    </w:p>
    <w:p w:rsidR="00B546F6" w:rsidRPr="00B546F6" w:rsidRDefault="00B546F6" w:rsidP="003B44D7">
      <w:pPr>
        <w:widowControl/>
        <w:spacing w:after="60"/>
        <w:rPr>
          <w:rFonts w:ascii="Arial" w:hAnsi="Arial" w:cs="Arial"/>
          <w:b/>
          <w:bCs/>
          <w:sz w:val="16"/>
          <w:szCs w:val="16"/>
          <w:lang w:eastAsia="zh-CN"/>
        </w:rPr>
      </w:pPr>
      <w:r w:rsidRPr="00B546F6">
        <w:rPr>
          <w:rFonts w:ascii="Arial" w:hAnsi="Arial" w:cs="Arial"/>
          <w:b/>
          <w:bCs/>
          <w:sz w:val="16"/>
          <w:szCs w:val="16"/>
          <w:lang w:eastAsia="zh-CN"/>
        </w:rPr>
        <w:t xml:space="preserve">Using </w:t>
      </w:r>
      <w:proofErr w:type="spellStart"/>
      <w:r w:rsidRPr="00B546F6">
        <w:rPr>
          <w:rFonts w:ascii="Arial" w:hAnsi="Arial" w:cs="Arial"/>
          <w:b/>
          <w:bCs/>
          <w:sz w:val="16"/>
          <w:szCs w:val="16"/>
          <w:lang w:eastAsia="zh-CN"/>
        </w:rPr>
        <w:t>Pluronic</w:t>
      </w:r>
      <w:proofErr w:type="spellEnd"/>
      <w:r w:rsidRPr="00B546F6">
        <w:rPr>
          <w:rFonts w:ascii="Arial" w:hAnsi="Arial" w:cs="Arial"/>
          <w:b/>
          <w:bCs/>
          <w:sz w:val="16"/>
          <w:szCs w:val="16"/>
          <w:lang w:eastAsia="zh-CN"/>
        </w:rPr>
        <w:t>® F-127 Dispersing Agent</w:t>
      </w:r>
    </w:p>
    <w:p w:rsidR="00B546F6" w:rsidRPr="00B546F6" w:rsidRDefault="00B546F6" w:rsidP="003B44D7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Since some AM esters</w:t>
      </w:r>
      <w:r w:rsidRPr="00B546F6">
        <w:rPr>
          <w:rFonts w:ascii="Arial" w:hAnsi="Arial" w:cs="Arial"/>
          <w:sz w:val="16"/>
          <w:szCs w:val="16"/>
          <w:lang w:eastAsia="zh-CN"/>
        </w:rPr>
        <w:t xml:space="preserve"> are relatively insoluble in aqueous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solutions, the low-toxicity dispersing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 xml:space="preserve">agent </w:t>
      </w:r>
      <w:proofErr w:type="spellStart"/>
      <w:r w:rsidRPr="00B546F6">
        <w:rPr>
          <w:rFonts w:ascii="Arial" w:hAnsi="Arial" w:cs="Arial"/>
          <w:sz w:val="16"/>
          <w:szCs w:val="16"/>
          <w:lang w:eastAsia="zh-CN"/>
        </w:rPr>
        <w:t>Pluronic</w:t>
      </w:r>
      <w:proofErr w:type="spellEnd"/>
      <w:r w:rsidRPr="00B546F6">
        <w:rPr>
          <w:rFonts w:ascii="Arial" w:hAnsi="Arial" w:cs="Arial"/>
          <w:sz w:val="16"/>
          <w:szCs w:val="16"/>
          <w:lang w:eastAsia="zh-CN"/>
        </w:rPr>
        <w:t>® F</w:t>
      </w:r>
      <w:r>
        <w:rPr>
          <w:rFonts w:ascii="Arial" w:eastAsia="MS Mincho" w:hAnsi="MS Mincho" w:cs="Arial"/>
          <w:sz w:val="16"/>
          <w:szCs w:val="16"/>
          <w:lang w:eastAsia="zh-CN"/>
        </w:rPr>
        <w:t>-</w:t>
      </w:r>
      <w:r w:rsidRPr="00B546F6">
        <w:rPr>
          <w:rFonts w:ascii="Arial" w:hAnsi="Arial" w:cs="Arial"/>
          <w:sz w:val="16"/>
          <w:szCs w:val="16"/>
          <w:lang w:eastAsia="zh-CN"/>
        </w:rPr>
        <w:t>127 i</w:t>
      </w:r>
      <w:r>
        <w:rPr>
          <w:rFonts w:ascii="Arial" w:hAnsi="Arial" w:cs="Arial"/>
          <w:sz w:val="16"/>
          <w:szCs w:val="16"/>
          <w:lang w:eastAsia="zh-CN"/>
        </w:rPr>
        <w:t xml:space="preserve">s often used to facilitate cell </w:t>
      </w:r>
      <w:r w:rsidRPr="00B546F6">
        <w:rPr>
          <w:rFonts w:ascii="Arial" w:hAnsi="Arial" w:cs="Arial"/>
          <w:sz w:val="16"/>
          <w:szCs w:val="16"/>
          <w:lang w:eastAsia="zh-CN"/>
        </w:rPr>
        <w:t>loading. This nonionic detergent can be made up to a fina</w:t>
      </w:r>
      <w:r>
        <w:rPr>
          <w:rFonts w:ascii="Arial" w:hAnsi="Arial" w:cs="Arial"/>
          <w:sz w:val="16"/>
          <w:szCs w:val="16"/>
          <w:lang w:eastAsia="zh-CN"/>
        </w:rPr>
        <w:t xml:space="preserve">l concentration of 20% (w/v) in </w:t>
      </w:r>
      <w:r w:rsidRPr="00B546F6">
        <w:rPr>
          <w:rFonts w:ascii="Arial" w:hAnsi="Arial" w:cs="Arial"/>
          <w:sz w:val="16"/>
          <w:szCs w:val="16"/>
          <w:lang w:eastAsia="zh-CN"/>
        </w:rPr>
        <w:t>DMSO, and this solution can be used to prepare t</w:t>
      </w:r>
      <w:r>
        <w:rPr>
          <w:rFonts w:ascii="Arial" w:hAnsi="Arial" w:cs="Arial"/>
          <w:sz w:val="16"/>
          <w:szCs w:val="16"/>
          <w:lang w:eastAsia="zh-CN"/>
        </w:rPr>
        <w:t>he dye stock. Gentle warming (~</w:t>
      </w:r>
      <w:r w:rsidRPr="00B546F6">
        <w:rPr>
          <w:rFonts w:ascii="Arial" w:hAnsi="Arial" w:cs="Arial"/>
          <w:sz w:val="16"/>
          <w:szCs w:val="16"/>
          <w:lang w:eastAsia="zh-CN"/>
        </w:rPr>
        <w:t>40°C) may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assist in getting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 xml:space="preserve">the detergent into DMSO. </w:t>
      </w:r>
      <w:proofErr w:type="spellStart"/>
      <w:r w:rsidRPr="00B546F6">
        <w:rPr>
          <w:rFonts w:ascii="Arial" w:hAnsi="Arial" w:cs="Arial"/>
          <w:sz w:val="16"/>
          <w:szCs w:val="16"/>
          <w:lang w:eastAsia="zh-CN"/>
        </w:rPr>
        <w:t>Pluronic</w:t>
      </w:r>
      <w:proofErr w:type="spellEnd"/>
      <w:r w:rsidRPr="00B546F6">
        <w:rPr>
          <w:rFonts w:ascii="Arial" w:hAnsi="Arial" w:cs="Arial"/>
          <w:sz w:val="16"/>
          <w:szCs w:val="16"/>
          <w:lang w:eastAsia="zh-CN"/>
        </w:rPr>
        <w:t>® F</w:t>
      </w:r>
      <w:r>
        <w:rPr>
          <w:rFonts w:ascii="Arial" w:eastAsia="MS Mincho" w:hAnsi="MS Mincho" w:cs="Arial"/>
          <w:sz w:val="16"/>
          <w:szCs w:val="16"/>
          <w:lang w:eastAsia="zh-CN"/>
        </w:rPr>
        <w:t>-</w:t>
      </w:r>
      <w:r w:rsidRPr="00B546F6">
        <w:rPr>
          <w:rFonts w:ascii="Arial" w:hAnsi="Arial" w:cs="Arial"/>
          <w:sz w:val="16"/>
          <w:szCs w:val="16"/>
          <w:lang w:eastAsia="zh-CN"/>
        </w:rPr>
        <w:t>127 may decrease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the s</w:t>
      </w:r>
      <w:r>
        <w:rPr>
          <w:rFonts w:ascii="Arial" w:hAnsi="Arial" w:cs="Arial"/>
          <w:sz w:val="16"/>
          <w:szCs w:val="16"/>
          <w:lang w:eastAsia="zh-CN"/>
        </w:rPr>
        <w:t xml:space="preserve">tability of AM </w:t>
      </w:r>
      <w:r w:rsidRPr="00B546F6">
        <w:rPr>
          <w:rFonts w:ascii="Arial" w:hAnsi="Arial" w:cs="Arial"/>
          <w:sz w:val="16"/>
          <w:szCs w:val="16"/>
          <w:lang w:eastAsia="zh-CN"/>
        </w:rPr>
        <w:t>esters, so it should only be added to working stocks.</w:t>
      </w:r>
    </w:p>
    <w:p w:rsidR="00B546F6" w:rsidRDefault="00B546F6" w:rsidP="003B44D7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B546F6">
        <w:rPr>
          <w:rFonts w:ascii="Arial" w:hAnsi="Arial" w:cs="Arial"/>
          <w:sz w:val="16"/>
          <w:szCs w:val="16"/>
          <w:lang w:eastAsia="zh-CN"/>
        </w:rPr>
        <w:t xml:space="preserve">Whether </w:t>
      </w:r>
      <w:proofErr w:type="spellStart"/>
      <w:r w:rsidRPr="00B546F6">
        <w:rPr>
          <w:rFonts w:ascii="Arial" w:hAnsi="Arial" w:cs="Arial"/>
          <w:sz w:val="16"/>
          <w:szCs w:val="16"/>
          <w:lang w:eastAsia="zh-CN"/>
        </w:rPr>
        <w:t>Pluronic</w:t>
      </w:r>
      <w:proofErr w:type="spellEnd"/>
      <w:r w:rsidRPr="00B546F6">
        <w:rPr>
          <w:rFonts w:ascii="Arial" w:hAnsi="Arial" w:cs="Arial"/>
          <w:sz w:val="16"/>
          <w:szCs w:val="16"/>
          <w:lang w:eastAsia="zh-CN"/>
        </w:rPr>
        <w:t>® is used or not, it is advisable to keep the AM ester</w:t>
      </w:r>
      <w:r>
        <w:rPr>
          <w:rFonts w:ascii="Arial" w:hAnsi="Arial" w:cs="Arial"/>
          <w:sz w:val="16"/>
          <w:szCs w:val="16"/>
          <w:lang w:eastAsia="zh-CN"/>
        </w:rPr>
        <w:t xml:space="preserve"> or acetate ester in as </w:t>
      </w:r>
      <w:r w:rsidRPr="00B546F6">
        <w:rPr>
          <w:rFonts w:ascii="Arial" w:hAnsi="Arial" w:cs="Arial"/>
          <w:sz w:val="16"/>
          <w:szCs w:val="16"/>
          <w:lang w:eastAsia="zh-CN"/>
        </w:rPr>
        <w:t>concentrated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 xml:space="preserve">a stock as </w:t>
      </w:r>
      <w:r w:rsidRPr="00B546F6">
        <w:rPr>
          <w:rFonts w:ascii="Arial" w:hAnsi="Arial" w:cs="Arial"/>
          <w:sz w:val="16"/>
          <w:szCs w:val="16"/>
          <w:lang w:eastAsia="zh-CN"/>
        </w:rPr>
        <w:lastRenderedPageBreak/>
        <w:t>possible so that minimal amounts (ideally ≤ 0.1%) of DMSO are present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in the loading solution.</w:t>
      </w:r>
    </w:p>
    <w:p w:rsidR="00B546F6" w:rsidRPr="003B44D7" w:rsidRDefault="00B546F6" w:rsidP="003B44D7">
      <w:pPr>
        <w:widowControl/>
        <w:spacing w:after="60"/>
        <w:rPr>
          <w:rFonts w:ascii="Arial" w:hAnsi="Arial" w:cs="Arial"/>
          <w:b/>
          <w:bCs/>
          <w:sz w:val="16"/>
          <w:szCs w:val="16"/>
          <w:lang w:eastAsia="zh-CN"/>
        </w:rPr>
      </w:pPr>
      <w:r w:rsidRPr="003B44D7">
        <w:rPr>
          <w:rFonts w:ascii="Arial" w:hAnsi="Arial" w:cs="Arial"/>
          <w:b/>
          <w:bCs/>
          <w:sz w:val="16"/>
          <w:szCs w:val="16"/>
          <w:lang w:eastAsia="zh-CN"/>
        </w:rPr>
        <w:t>Loading of Cells with AM or Acetate Esters</w:t>
      </w:r>
    </w:p>
    <w:p w:rsidR="00DC06CB" w:rsidRPr="00B546F6" w:rsidRDefault="00B546F6" w:rsidP="003B44D7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B546F6">
        <w:rPr>
          <w:rFonts w:ascii="Arial" w:hAnsi="Arial" w:cs="Arial"/>
          <w:sz w:val="16"/>
          <w:szCs w:val="16"/>
          <w:lang w:eastAsia="zh-CN"/>
        </w:rPr>
        <w:t>This</w:t>
      </w:r>
      <w:r>
        <w:rPr>
          <w:rFonts w:ascii="Arial" w:hAnsi="Arial" w:cs="Arial"/>
          <w:sz w:val="16"/>
          <w:szCs w:val="16"/>
          <w:lang w:eastAsia="zh-CN"/>
        </w:rPr>
        <w:t xml:space="preserve"> is intended as an introduction </w:t>
      </w:r>
      <w:r w:rsidRPr="00B546F6">
        <w:rPr>
          <w:rFonts w:ascii="Arial" w:hAnsi="Arial" w:cs="Arial"/>
          <w:sz w:val="16"/>
          <w:szCs w:val="16"/>
          <w:lang w:eastAsia="zh-CN"/>
        </w:rPr>
        <w:t>only. Specific protocols for any particular dye and cell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type should be obtained from the literature. As a rule, AM a</w:t>
      </w:r>
      <w:r>
        <w:rPr>
          <w:rFonts w:ascii="Arial" w:hAnsi="Arial" w:cs="Arial"/>
          <w:sz w:val="16"/>
          <w:szCs w:val="16"/>
          <w:lang w:eastAsia="zh-CN"/>
        </w:rPr>
        <w:t xml:space="preserve">nd acetate esters are used at a </w:t>
      </w:r>
      <w:r w:rsidRPr="00B546F6">
        <w:rPr>
          <w:rFonts w:ascii="Arial" w:hAnsi="Arial" w:cs="Arial"/>
          <w:sz w:val="16"/>
          <w:szCs w:val="16"/>
          <w:lang w:eastAsia="zh-CN"/>
        </w:rPr>
        <w:t xml:space="preserve">final working concentration of between 1 and 10 </w:t>
      </w:r>
      <w:proofErr w:type="spellStart"/>
      <w:r w:rsidRPr="00B546F6">
        <w:rPr>
          <w:rFonts w:ascii="Arial" w:hAnsi="Arial" w:cs="Arial"/>
          <w:sz w:val="16"/>
          <w:szCs w:val="16"/>
          <w:lang w:eastAsia="zh-CN"/>
        </w:rPr>
        <w:t>μM</w:t>
      </w:r>
      <w:proofErr w:type="spellEnd"/>
      <w:r w:rsidRPr="00B546F6">
        <w:rPr>
          <w:rFonts w:ascii="Arial" w:hAnsi="Arial" w:cs="Arial"/>
          <w:sz w:val="16"/>
          <w:szCs w:val="16"/>
          <w:lang w:eastAsia="zh-CN"/>
        </w:rPr>
        <w:t xml:space="preserve">. </w:t>
      </w:r>
      <w:proofErr w:type="gramStart"/>
      <w:r w:rsidRPr="00B546F6">
        <w:rPr>
          <w:rFonts w:ascii="Arial" w:hAnsi="Arial" w:cs="Arial"/>
          <w:sz w:val="16"/>
          <w:szCs w:val="16"/>
          <w:lang w:eastAsia="zh-CN"/>
        </w:rPr>
        <w:t>Higher conce</w:t>
      </w:r>
      <w:r>
        <w:rPr>
          <w:rFonts w:ascii="Arial" w:hAnsi="Arial" w:cs="Arial"/>
          <w:sz w:val="16"/>
          <w:szCs w:val="16"/>
          <w:lang w:eastAsia="zh-CN"/>
        </w:rPr>
        <w:t xml:space="preserve">ntrations of weakly fluorescent </w:t>
      </w:r>
      <w:r w:rsidRPr="00B546F6">
        <w:rPr>
          <w:rFonts w:ascii="Arial" w:hAnsi="Arial" w:cs="Arial"/>
          <w:sz w:val="16"/>
          <w:szCs w:val="16"/>
          <w:lang w:eastAsia="zh-CN"/>
        </w:rPr>
        <w:t>indicators</w:t>
      </w:r>
      <w:r>
        <w:rPr>
          <w:rFonts w:ascii="Arial" w:hAnsi="Arial" w:cs="Arial"/>
          <w:sz w:val="16"/>
          <w:szCs w:val="16"/>
          <w:lang w:eastAsia="zh-CN"/>
        </w:rPr>
        <w:t>.</w:t>
      </w:r>
      <w:proofErr w:type="gramEnd"/>
      <w:r>
        <w:rPr>
          <w:rFonts w:ascii="Arial" w:hAnsi="Arial" w:cs="Arial"/>
          <w:sz w:val="16"/>
          <w:szCs w:val="16"/>
          <w:lang w:eastAsia="zh-CN"/>
        </w:rPr>
        <w:t xml:space="preserve"> The AM or acetate ester </w:t>
      </w:r>
      <w:r w:rsidRPr="00B546F6">
        <w:rPr>
          <w:rFonts w:ascii="Arial" w:hAnsi="Arial" w:cs="Arial"/>
          <w:sz w:val="16"/>
          <w:szCs w:val="16"/>
          <w:lang w:eastAsia="zh-CN"/>
        </w:rPr>
        <w:t>concentration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should be kept as low as possible to reduce potential artifacts from overloading,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including incomplete hy</w:t>
      </w:r>
      <w:r>
        <w:rPr>
          <w:rFonts w:ascii="Arial" w:hAnsi="Arial" w:cs="Arial"/>
          <w:sz w:val="16"/>
          <w:szCs w:val="16"/>
          <w:lang w:eastAsia="zh-CN"/>
        </w:rPr>
        <w:t xml:space="preserve">drolysis, compartmentalization, and toxic effects of hydrolysis </w:t>
      </w:r>
      <w:r w:rsidRPr="00B546F6">
        <w:rPr>
          <w:rFonts w:ascii="Arial" w:hAnsi="Arial" w:cs="Arial"/>
          <w:sz w:val="16"/>
          <w:szCs w:val="16"/>
          <w:lang w:eastAsia="zh-CN"/>
        </w:rPr>
        <w:t>byproducts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such as formaldehyde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or acetic acid. Gene</w:t>
      </w:r>
      <w:r>
        <w:rPr>
          <w:rFonts w:ascii="Arial" w:hAnsi="Arial" w:cs="Arial"/>
          <w:sz w:val="16"/>
          <w:szCs w:val="16"/>
          <w:lang w:eastAsia="zh-CN"/>
        </w:rPr>
        <w:t xml:space="preserve">rally, loading times of between </w:t>
      </w:r>
      <w:r w:rsidRPr="00B546F6">
        <w:rPr>
          <w:rFonts w:ascii="Arial" w:hAnsi="Arial" w:cs="Arial"/>
          <w:sz w:val="16"/>
          <w:szCs w:val="16"/>
          <w:lang w:eastAsia="zh-CN"/>
        </w:rPr>
        <w:t>15 minutes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="003B44D7">
        <w:rPr>
          <w:rFonts w:ascii="Arial" w:hAnsi="Arial" w:cs="Arial"/>
          <w:sz w:val="16"/>
          <w:szCs w:val="16"/>
          <w:lang w:eastAsia="zh-CN"/>
        </w:rPr>
        <w:t>and 1 hour are sufficient</w:t>
      </w:r>
      <w:r w:rsidRPr="00B546F6">
        <w:rPr>
          <w:rFonts w:ascii="Arial" w:hAnsi="Arial" w:cs="Arial"/>
          <w:sz w:val="16"/>
          <w:szCs w:val="16"/>
          <w:lang w:eastAsia="zh-CN"/>
        </w:rPr>
        <w:t>. Loadi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ng may be done at a temperature </w:t>
      </w:r>
      <w:r w:rsidRPr="00B546F6">
        <w:rPr>
          <w:rFonts w:ascii="Arial" w:hAnsi="Arial" w:cs="Arial"/>
          <w:sz w:val="16"/>
          <w:szCs w:val="16"/>
          <w:lang w:eastAsia="zh-CN"/>
        </w:rPr>
        <w:t>that is optim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al for the cells, although some </w:t>
      </w:r>
      <w:r w:rsidRPr="00B546F6">
        <w:rPr>
          <w:rFonts w:ascii="Arial" w:hAnsi="Arial" w:cs="Arial"/>
          <w:sz w:val="16"/>
          <w:szCs w:val="16"/>
          <w:lang w:eastAsia="zh-CN"/>
        </w:rPr>
        <w:t>investigators have reported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greater degrees of compartmentalization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 at physiological </w:t>
      </w:r>
      <w:r w:rsidRPr="00B546F6">
        <w:rPr>
          <w:rFonts w:ascii="Arial" w:hAnsi="Arial" w:cs="Arial"/>
          <w:sz w:val="16"/>
          <w:szCs w:val="16"/>
          <w:lang w:eastAsia="zh-CN"/>
        </w:rPr>
        <w:t>temperatures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than at room temperature. In addition to assisting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 in dye uptake, </w:t>
      </w:r>
      <w:proofErr w:type="spellStart"/>
      <w:r w:rsidRPr="00B546F6">
        <w:rPr>
          <w:rFonts w:ascii="Arial" w:hAnsi="Arial" w:cs="Arial"/>
          <w:sz w:val="16"/>
          <w:szCs w:val="16"/>
          <w:lang w:eastAsia="zh-CN"/>
        </w:rPr>
        <w:t>P</w:t>
      </w:r>
      <w:r w:rsidR="003B44D7">
        <w:rPr>
          <w:rFonts w:ascii="Arial" w:hAnsi="Arial" w:cs="Arial"/>
          <w:sz w:val="16"/>
          <w:szCs w:val="16"/>
          <w:lang w:eastAsia="zh-CN"/>
        </w:rPr>
        <w:t>luronic</w:t>
      </w:r>
      <w:proofErr w:type="spellEnd"/>
      <w:r w:rsidR="003B44D7">
        <w:rPr>
          <w:rFonts w:ascii="Arial" w:hAnsi="Arial" w:cs="Arial"/>
          <w:sz w:val="16"/>
          <w:szCs w:val="16"/>
          <w:lang w:eastAsia="zh-CN"/>
        </w:rPr>
        <w:t xml:space="preserve">® F-127 </w:t>
      </w:r>
      <w:r w:rsidRPr="00B546F6">
        <w:rPr>
          <w:rFonts w:ascii="Arial" w:hAnsi="Arial" w:cs="Arial"/>
          <w:sz w:val="16"/>
          <w:szCs w:val="16"/>
          <w:lang w:eastAsia="zh-CN"/>
        </w:rPr>
        <w:t>may help in reducing compartmentalization. T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o keep extracellular hydrolysis </w:t>
      </w:r>
      <w:r w:rsidRPr="00B546F6">
        <w:rPr>
          <w:rFonts w:ascii="Arial" w:hAnsi="Arial" w:cs="Arial"/>
          <w:sz w:val="16"/>
          <w:szCs w:val="16"/>
          <w:lang w:eastAsia="zh-CN"/>
        </w:rPr>
        <w:t>of the AM and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acetate esters to a minimum,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it is recommended that a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 loading buffer free of primary </w:t>
      </w:r>
      <w:r w:rsidRPr="00B546F6">
        <w:rPr>
          <w:rFonts w:ascii="Arial" w:hAnsi="Arial" w:cs="Arial"/>
          <w:sz w:val="16"/>
          <w:szCs w:val="16"/>
          <w:lang w:eastAsia="zh-CN"/>
        </w:rPr>
        <w:t>and</w:t>
      </w:r>
      <w:r w:rsidR="003B44D7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B546F6">
        <w:rPr>
          <w:rFonts w:ascii="Arial" w:hAnsi="Arial" w:cs="Arial"/>
          <w:sz w:val="16"/>
          <w:szCs w:val="16"/>
          <w:lang w:eastAsia="zh-CN"/>
        </w:rPr>
        <w:t>secondary amines such as PBS be used. Cells should be washed in dye-free buffer after loading.</w:t>
      </w:r>
    </w:p>
    <w:p w:rsidR="00DC06CB" w:rsidRDefault="00DC06CB" w:rsidP="003B44D7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sectPr w:rsidR="00DC06CB" w:rsidSect="008A612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44" w:rsidRDefault="008F3244" w:rsidP="00C0054E">
      <w:r>
        <w:separator/>
      </w:r>
    </w:p>
  </w:endnote>
  <w:endnote w:type="continuationSeparator" w:id="0">
    <w:p w:rsidR="008F3244" w:rsidRDefault="008F3244" w:rsidP="00C0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4E" w:rsidRPr="006B34D8" w:rsidRDefault="003B44D7" w:rsidP="00C0054E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 w:cs="Arial"/>
        <w:b/>
        <w:color w:val="000000"/>
        <w:sz w:val="22"/>
        <w:szCs w:val="22"/>
      </w:rPr>
    </w:pPr>
    <w:proofErr w:type="spellStart"/>
    <w:r>
      <w:rPr>
        <w:rFonts w:ascii="Arial" w:hAnsi="Arial" w:cs="Arial"/>
        <w:b/>
        <w:color w:val="000000"/>
        <w:sz w:val="22"/>
        <w:szCs w:val="22"/>
      </w:rPr>
      <w:t>Calcein</w:t>
    </w:r>
    <w:proofErr w:type="spellEnd"/>
    <w:r>
      <w:rPr>
        <w:rFonts w:ascii="Arial" w:hAnsi="Arial" w:cs="Arial"/>
        <w:b/>
        <w:color w:val="000000"/>
        <w:sz w:val="22"/>
        <w:szCs w:val="22"/>
      </w:rPr>
      <w:t xml:space="preserve"> blue, AM and </w:t>
    </w:r>
    <w:proofErr w:type="spellStart"/>
    <w:r>
      <w:rPr>
        <w:rFonts w:ascii="Arial" w:hAnsi="Arial" w:cs="Arial"/>
        <w:b/>
        <w:color w:val="000000"/>
        <w:sz w:val="22"/>
        <w:szCs w:val="22"/>
      </w:rPr>
      <w:t>Calcein</w:t>
    </w:r>
    <w:proofErr w:type="spellEnd"/>
    <w:r>
      <w:rPr>
        <w:rFonts w:ascii="Arial" w:hAnsi="Arial" w:cs="Arial"/>
        <w:b/>
        <w:color w:val="000000"/>
        <w:sz w:val="22"/>
        <w:szCs w:val="22"/>
      </w:rPr>
      <w:t>, AM</w:t>
    </w:r>
    <w:r w:rsidR="00C0054E">
      <w:rPr>
        <w:rFonts w:ascii="Cambria" w:hAnsi="Cambria"/>
      </w:rPr>
      <w:tab/>
      <w:t xml:space="preserve">Page </w:t>
    </w:r>
    <w:fldSimple w:instr=" PAGE   \* MERGEFORMAT ">
      <w:r w:rsidR="00485660" w:rsidRPr="00485660">
        <w:rPr>
          <w:rFonts w:ascii="Cambria" w:hAnsi="Cambria"/>
          <w:noProof/>
        </w:rPr>
        <w:t>1</w:t>
      </w:r>
    </w:fldSimple>
  </w:p>
  <w:p w:rsidR="00C0054E" w:rsidRDefault="00C00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44" w:rsidRDefault="008F3244" w:rsidP="00C0054E">
      <w:r>
        <w:separator/>
      </w:r>
    </w:p>
  </w:footnote>
  <w:footnote w:type="continuationSeparator" w:id="0">
    <w:p w:rsidR="008F3244" w:rsidRDefault="008F3244" w:rsidP="00C0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945"/>
    <w:multiLevelType w:val="hybridMultilevel"/>
    <w:tmpl w:val="9EA8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CFB"/>
    <w:multiLevelType w:val="hybridMultilevel"/>
    <w:tmpl w:val="8292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34E1"/>
    <w:multiLevelType w:val="hybridMultilevel"/>
    <w:tmpl w:val="891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C36C9"/>
    <w:multiLevelType w:val="hybridMultilevel"/>
    <w:tmpl w:val="3DF4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3C7A"/>
    <w:multiLevelType w:val="hybridMultilevel"/>
    <w:tmpl w:val="CE58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274CB"/>
    <w:multiLevelType w:val="hybridMultilevel"/>
    <w:tmpl w:val="C37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2B6F"/>
    <w:multiLevelType w:val="hybridMultilevel"/>
    <w:tmpl w:val="BEFC7AAE"/>
    <w:lvl w:ilvl="0" w:tplc="EFECF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A4F73CF"/>
    <w:multiLevelType w:val="hybridMultilevel"/>
    <w:tmpl w:val="933289BA"/>
    <w:lvl w:ilvl="0" w:tplc="E63A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B17723F"/>
    <w:multiLevelType w:val="hybridMultilevel"/>
    <w:tmpl w:val="35DA374E"/>
    <w:lvl w:ilvl="0" w:tplc="9DD6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8">
      <o:colormenu v:ext="edit" shadow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173D8E"/>
    <w:rsid w:val="00004E40"/>
    <w:rsid w:val="00034525"/>
    <w:rsid w:val="00036078"/>
    <w:rsid w:val="0004383B"/>
    <w:rsid w:val="0004746F"/>
    <w:rsid w:val="00062AE7"/>
    <w:rsid w:val="000848B7"/>
    <w:rsid w:val="00094F72"/>
    <w:rsid w:val="000D76FC"/>
    <w:rsid w:val="00165126"/>
    <w:rsid w:val="00173D8E"/>
    <w:rsid w:val="001A4846"/>
    <w:rsid w:val="001A7B90"/>
    <w:rsid w:val="001D0E17"/>
    <w:rsid w:val="001E4370"/>
    <w:rsid w:val="00216D36"/>
    <w:rsid w:val="002530AF"/>
    <w:rsid w:val="00280E64"/>
    <w:rsid w:val="00284E6F"/>
    <w:rsid w:val="0030483D"/>
    <w:rsid w:val="003938FF"/>
    <w:rsid w:val="003A43C0"/>
    <w:rsid w:val="003A7E49"/>
    <w:rsid w:val="003B44D7"/>
    <w:rsid w:val="00437C7C"/>
    <w:rsid w:val="00485660"/>
    <w:rsid w:val="004B080E"/>
    <w:rsid w:val="004F608C"/>
    <w:rsid w:val="00511AE6"/>
    <w:rsid w:val="00525067"/>
    <w:rsid w:val="005253FE"/>
    <w:rsid w:val="0052786E"/>
    <w:rsid w:val="005E637D"/>
    <w:rsid w:val="00615E87"/>
    <w:rsid w:val="00623771"/>
    <w:rsid w:val="006300E8"/>
    <w:rsid w:val="00694717"/>
    <w:rsid w:val="006B3292"/>
    <w:rsid w:val="006B34D8"/>
    <w:rsid w:val="006B3810"/>
    <w:rsid w:val="006B476C"/>
    <w:rsid w:val="006E2FE1"/>
    <w:rsid w:val="00721946"/>
    <w:rsid w:val="0072766B"/>
    <w:rsid w:val="007346DC"/>
    <w:rsid w:val="00754EF6"/>
    <w:rsid w:val="00782D34"/>
    <w:rsid w:val="007953C9"/>
    <w:rsid w:val="007B2D71"/>
    <w:rsid w:val="007C3F8B"/>
    <w:rsid w:val="007D022E"/>
    <w:rsid w:val="00812CAB"/>
    <w:rsid w:val="00832967"/>
    <w:rsid w:val="00853661"/>
    <w:rsid w:val="00855F4F"/>
    <w:rsid w:val="008A1F08"/>
    <w:rsid w:val="008A612A"/>
    <w:rsid w:val="008D4D4A"/>
    <w:rsid w:val="008D5C46"/>
    <w:rsid w:val="008E610D"/>
    <w:rsid w:val="008F3244"/>
    <w:rsid w:val="008F7BB6"/>
    <w:rsid w:val="0091186F"/>
    <w:rsid w:val="00914FB1"/>
    <w:rsid w:val="00976B17"/>
    <w:rsid w:val="00985EEF"/>
    <w:rsid w:val="00986553"/>
    <w:rsid w:val="00993216"/>
    <w:rsid w:val="009C5F3A"/>
    <w:rsid w:val="009D640E"/>
    <w:rsid w:val="009E38A9"/>
    <w:rsid w:val="009F095E"/>
    <w:rsid w:val="009F45EB"/>
    <w:rsid w:val="00A02B44"/>
    <w:rsid w:val="00A83BA7"/>
    <w:rsid w:val="00AC48E9"/>
    <w:rsid w:val="00AE7644"/>
    <w:rsid w:val="00B16755"/>
    <w:rsid w:val="00B3574F"/>
    <w:rsid w:val="00B3687E"/>
    <w:rsid w:val="00B538F8"/>
    <w:rsid w:val="00B546F6"/>
    <w:rsid w:val="00B607C3"/>
    <w:rsid w:val="00B76443"/>
    <w:rsid w:val="00B95137"/>
    <w:rsid w:val="00BC312A"/>
    <w:rsid w:val="00BD1DF5"/>
    <w:rsid w:val="00C0054E"/>
    <w:rsid w:val="00C3096A"/>
    <w:rsid w:val="00CA786E"/>
    <w:rsid w:val="00CB27E2"/>
    <w:rsid w:val="00CD0024"/>
    <w:rsid w:val="00CD545E"/>
    <w:rsid w:val="00D13A98"/>
    <w:rsid w:val="00D57940"/>
    <w:rsid w:val="00D968B4"/>
    <w:rsid w:val="00DB0920"/>
    <w:rsid w:val="00DB4A36"/>
    <w:rsid w:val="00DC06CB"/>
    <w:rsid w:val="00E237DF"/>
    <w:rsid w:val="00E80F57"/>
    <w:rsid w:val="00ED0D68"/>
    <w:rsid w:val="00F2259D"/>
    <w:rsid w:val="00F64186"/>
    <w:rsid w:val="00F7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E7"/>
    <w:pPr>
      <w:widowControl w:val="0"/>
      <w:autoSpaceDE w:val="0"/>
      <w:autoSpaceDN w:val="0"/>
      <w:adjustRightInd w:val="0"/>
    </w:pPr>
    <w:rPr>
      <w:rFonts w:ascii="Courier" w:hAnsi="Courier"/>
      <w:szCs w:val="24"/>
      <w:lang w:eastAsia="en-US"/>
    </w:rPr>
  </w:style>
  <w:style w:type="paragraph" w:styleId="Heading1">
    <w:name w:val="heading 1"/>
    <w:basedOn w:val="Normal"/>
    <w:next w:val="Normal"/>
    <w:qFormat/>
    <w:rsid w:val="00062AE7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2AE7"/>
  </w:style>
  <w:style w:type="character" w:customStyle="1" w:styleId="productlargeclass">
    <w:name w:val="productlargeclass"/>
    <w:basedOn w:val="DefaultParagraphFont"/>
    <w:rsid w:val="00062AE7"/>
  </w:style>
  <w:style w:type="character" w:customStyle="1" w:styleId="ahead">
    <w:name w:val="ahead"/>
    <w:basedOn w:val="DefaultParagraphFont"/>
    <w:rsid w:val="00062AE7"/>
  </w:style>
  <w:style w:type="character" w:customStyle="1" w:styleId="productboldclassproductlargeclass">
    <w:name w:val="productboldclass productlargeclass"/>
    <w:basedOn w:val="DefaultParagraphFont"/>
    <w:rsid w:val="00062AE7"/>
  </w:style>
  <w:style w:type="character" w:styleId="Hyperlink">
    <w:name w:val="Hyperlink"/>
    <w:basedOn w:val="DefaultParagraphFont"/>
    <w:semiHidden/>
    <w:rsid w:val="00062AE7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semiHidden/>
    <w:rsid w:val="00062AE7"/>
    <w:pPr>
      <w:jc w:val="both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1A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CB27E2"/>
    <w:pPr>
      <w:widowControl/>
      <w:spacing w:line="241" w:lineRule="atLeast"/>
    </w:pPr>
    <w:rPr>
      <w:rFonts w:ascii="Arial Narrow" w:hAnsi="Arial Narrow"/>
      <w:sz w:val="24"/>
      <w:lang w:eastAsia="zh-CN"/>
    </w:rPr>
  </w:style>
  <w:style w:type="character" w:customStyle="1" w:styleId="A0">
    <w:name w:val="A0"/>
    <w:uiPriority w:val="99"/>
    <w:rsid w:val="00CB27E2"/>
    <w:rPr>
      <w:rFonts w:cs="Arial Narrow"/>
      <w:color w:val="211D1E"/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8E610D"/>
    <w:pPr>
      <w:widowControl/>
      <w:spacing w:line="241" w:lineRule="atLeast"/>
    </w:pPr>
    <w:rPr>
      <w:rFonts w:ascii="Arial Narrow" w:hAnsi="Arial Narrow"/>
      <w:sz w:val="24"/>
      <w:lang w:eastAsia="zh-CN"/>
    </w:rPr>
  </w:style>
  <w:style w:type="character" w:customStyle="1" w:styleId="A1">
    <w:name w:val="A1"/>
    <w:uiPriority w:val="99"/>
    <w:rsid w:val="00ED0D68"/>
    <w:rPr>
      <w:rFonts w:cs="Arial Narrow"/>
      <w:color w:val="000000"/>
      <w:sz w:val="9"/>
      <w:szCs w:val="9"/>
    </w:rPr>
  </w:style>
  <w:style w:type="paragraph" w:styleId="Header">
    <w:name w:val="header"/>
    <w:basedOn w:val="Normal"/>
    <w:link w:val="HeaderChar"/>
    <w:uiPriority w:val="99"/>
    <w:semiHidden/>
    <w:unhideWhenUsed/>
    <w:rsid w:val="00C0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54E"/>
    <w:rPr>
      <w:rFonts w:ascii="Courier" w:hAnsi="Courier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4E"/>
    <w:rPr>
      <w:rFonts w:ascii="Courier" w:hAnsi="Courier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4E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F64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0163">
                          <w:marLeft w:val="0"/>
                          <w:marRight w:val="63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4" w:space="6" w:color="ADAFAF"/>
                            <w:bottom w:val="single" w:sz="4" w:space="6" w:color="ADAFAF"/>
                            <w:right w:val="single" w:sz="4" w:space="6" w:color="ADAFAF"/>
                          </w:divBdr>
                          <w:divsChild>
                            <w:div w:id="16072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40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80828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MARKER GENE TECHNOLOGIES, Inc</vt:lpstr>
    </vt:vector>
  </TitlesOfParts>
  <Company>Marker Gene Technologies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MARKER GENE TECHNOLOGIES, Inc</dc:title>
  <dc:subject/>
  <dc:creator>COMPAQ</dc:creator>
  <cp:keywords/>
  <cp:lastModifiedBy>lqying</cp:lastModifiedBy>
  <cp:revision>5</cp:revision>
  <cp:lastPrinted>2012-12-08T10:25:00Z</cp:lastPrinted>
  <dcterms:created xsi:type="dcterms:W3CDTF">2014-08-22T01:45:00Z</dcterms:created>
  <dcterms:modified xsi:type="dcterms:W3CDTF">2014-10-13T11:23:00Z</dcterms:modified>
</cp:coreProperties>
</file>