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5" w:rsidRDefault="00A53DD2" w:rsidP="001E4370">
      <w:pPr>
        <w:rPr>
          <w:rFonts w:ascii="Arial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1.7pt;margin-top:-29.6pt;width:206.8pt;height:50.5pt;z-index:251660288;mso-width-relative:margin;mso-height-relative:margin" strokecolor="white [3212]">
            <v:textbox style="mso-next-textbox:#_x0000_s1102">
              <w:txbxContent>
                <w:p w:rsidR="00CF24F5" w:rsidRDefault="00F12CDC">
                  <w:pPr>
                    <w:rPr>
                      <w:lang w:eastAsia="zh-CN"/>
                    </w:rPr>
                  </w:pPr>
                  <w:r w:rsidRPr="00F12CDC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367915" cy="507103"/>
                        <wp:effectExtent l="19050" t="0" r="0" b="0"/>
                        <wp:docPr id="1" name="图片 196" descr="E:\chenzhenqiu\公司logo\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96" descr="E:\chenzhenqiu\公司logo\公司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915" cy="507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 id="_x0000_s1103" type="#_x0000_t202" style="position:absolute;margin-left:260.45pt;margin-top:-29.6pt;width:204.3pt;height:49.15pt;z-index:251662336;mso-width-relative:margin;mso-height-relative:margin" strokecolor="white [3212]">
            <v:textbox>
              <w:txbxContent>
                <w:p w:rsidR="00CF24F5" w:rsidRPr="005B24EB" w:rsidRDefault="00CF24F5" w:rsidP="005B24EB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B2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9620 Medical Center Drive, Suite 101</w:t>
                  </w:r>
                </w:p>
                <w:p w:rsidR="00CF24F5" w:rsidRPr="005B24EB" w:rsidRDefault="00CF24F5" w:rsidP="005B24EB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B2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Rockville, MD</w:t>
                  </w:r>
                  <w:r w:rsidR="005B24EB" w:rsidRPr="005B24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B24E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20850, USA</w:t>
                  </w:r>
                  <w:r w:rsidRPr="005B24EB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:rsidR="00CF24F5" w:rsidRPr="005B24EB" w:rsidRDefault="00CF24F5" w:rsidP="005B24EB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</w:pPr>
                  <w:r w:rsidRPr="005B24EB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>Web: www.genecopoeia.com</w:t>
                  </w:r>
                </w:p>
                <w:p w:rsidR="00CF24F5" w:rsidRPr="005B24EB" w:rsidRDefault="00CF24F5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xbxContent>
            </v:textbox>
          </v:shape>
        </w:pict>
      </w:r>
    </w:p>
    <w:p w:rsidR="00976B17" w:rsidRPr="000D76FC" w:rsidRDefault="00A53DD2" w:rsidP="00216D36">
      <w:pPr>
        <w:spacing w:before="120"/>
        <w:jc w:val="center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  <w:lang w:eastAsia="zh-CN"/>
        </w:rPr>
        <w:pict>
          <v:line id="_x0000_s1099" style="position:absolute;left:0;text-align:left;z-index:251657728" from="-3.15pt,5pt" to="469.1pt,5pt" strokeweight="3.5pt"/>
        </w:pict>
      </w:r>
    </w:p>
    <w:p w:rsidR="00216D36" w:rsidRPr="00216D36" w:rsidRDefault="00216D36" w:rsidP="00CF24F5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216D36">
        <w:rPr>
          <w:rFonts w:ascii="Arial" w:hAnsi="Arial" w:cs="Arial"/>
          <w:b/>
          <w:sz w:val="36"/>
          <w:szCs w:val="36"/>
        </w:rPr>
        <w:t>Product Information</w:t>
      </w:r>
    </w:p>
    <w:p w:rsidR="00216D36" w:rsidRPr="001A4846" w:rsidRDefault="00216D36" w:rsidP="00216D36">
      <w:pPr>
        <w:rPr>
          <w:rFonts w:ascii="Arial" w:hAnsi="Arial" w:cs="Arial"/>
          <w:sz w:val="24"/>
        </w:rPr>
      </w:pPr>
    </w:p>
    <w:p w:rsidR="00216D36" w:rsidRPr="001A4846" w:rsidRDefault="00216D36" w:rsidP="00216D36">
      <w:pPr>
        <w:rPr>
          <w:rFonts w:ascii="Arial" w:hAnsi="Arial" w:cs="Arial"/>
          <w:sz w:val="24"/>
        </w:rPr>
        <w:sectPr w:rsidR="00216D36" w:rsidRPr="001A4846" w:rsidSect="000D76FC"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720" w:footer="720" w:gutter="0"/>
          <w:cols w:space="720"/>
          <w:noEndnote/>
          <w:docGrid w:linePitch="272"/>
        </w:sectPr>
      </w:pPr>
    </w:p>
    <w:p w:rsidR="00216D36" w:rsidRPr="00AC48E9" w:rsidRDefault="00825AA3" w:rsidP="00F6418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Lyso</w:t>
      </w:r>
      <w:r w:rsidR="005A498F">
        <w:rPr>
          <w:rFonts w:ascii="Arial" w:hAnsi="Arial" w:cs="Arial"/>
          <w:b/>
          <w:color w:val="000000"/>
          <w:sz w:val="22"/>
          <w:szCs w:val="22"/>
        </w:rPr>
        <w:t>View</w:t>
      </w:r>
      <w:proofErr w:type="spellEnd"/>
      <w:r w:rsidR="005A498F">
        <w:rPr>
          <w:rFonts w:ascii="Arial" w:hAnsi="Arial" w:cs="Arial"/>
          <w:b/>
          <w:color w:val="000000"/>
          <w:sz w:val="22"/>
          <w:szCs w:val="22"/>
        </w:rPr>
        <w:t xml:space="preserve"> Probes</w:t>
      </w:r>
    </w:p>
    <w:p w:rsidR="001A4846" w:rsidRPr="00094F72" w:rsidRDefault="001A4846" w:rsidP="00216D36">
      <w:pPr>
        <w:rPr>
          <w:rFonts w:ascii="Arial" w:hAnsi="Arial" w:cs="Arial"/>
          <w:b/>
          <w:sz w:val="16"/>
          <w:szCs w:val="16"/>
        </w:rPr>
      </w:pPr>
    </w:p>
    <w:tbl>
      <w:tblPr>
        <w:tblW w:w="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620"/>
        <w:gridCol w:w="990"/>
      </w:tblGrid>
      <w:tr w:rsidR="000848B7" w:rsidRPr="001A4846" w:rsidTr="005B24EB">
        <w:trPr>
          <w:trHeight w:val="332"/>
        </w:trPr>
        <w:tc>
          <w:tcPr>
            <w:tcW w:w="1710" w:type="dxa"/>
            <w:vAlign w:val="center"/>
          </w:tcPr>
          <w:p w:rsidR="000848B7" w:rsidRPr="00825AA3" w:rsidRDefault="000848B7" w:rsidP="005B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AA3">
              <w:rPr>
                <w:rFonts w:ascii="Arial" w:hAnsi="Arial" w:cs="Arial"/>
                <w:b/>
                <w:sz w:val="18"/>
                <w:szCs w:val="18"/>
              </w:rPr>
              <w:t>Catalog Number</w:t>
            </w:r>
          </w:p>
        </w:tc>
        <w:tc>
          <w:tcPr>
            <w:tcW w:w="1620" w:type="dxa"/>
            <w:vAlign w:val="center"/>
          </w:tcPr>
          <w:p w:rsidR="000848B7" w:rsidRPr="00825AA3" w:rsidRDefault="000848B7" w:rsidP="005B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AA3">
              <w:rPr>
                <w:rFonts w:ascii="Arial" w:hAnsi="Arial" w:cs="Arial"/>
                <w:b/>
                <w:sz w:val="18"/>
                <w:szCs w:val="18"/>
              </w:rPr>
              <w:t>Product Name</w:t>
            </w:r>
          </w:p>
        </w:tc>
        <w:tc>
          <w:tcPr>
            <w:tcW w:w="990" w:type="dxa"/>
            <w:vAlign w:val="center"/>
          </w:tcPr>
          <w:p w:rsidR="000848B7" w:rsidRPr="00825AA3" w:rsidRDefault="000848B7" w:rsidP="005B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AA3">
              <w:rPr>
                <w:rFonts w:ascii="Arial" w:hAnsi="Arial" w:cs="Arial"/>
                <w:b/>
                <w:sz w:val="18"/>
                <w:szCs w:val="18"/>
              </w:rPr>
              <w:t>Unit Size</w:t>
            </w:r>
          </w:p>
        </w:tc>
      </w:tr>
      <w:tr w:rsidR="000848B7" w:rsidRPr="001A4846" w:rsidTr="005B24EB">
        <w:trPr>
          <w:trHeight w:val="260"/>
        </w:trPr>
        <w:tc>
          <w:tcPr>
            <w:tcW w:w="1710" w:type="dxa"/>
            <w:vAlign w:val="center"/>
          </w:tcPr>
          <w:p w:rsidR="000848B7" w:rsidRPr="00094F72" w:rsidRDefault="000848B7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</w:t>
            </w:r>
            <w:r w:rsidR="000F3AB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25AA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:rsidR="000848B7" w:rsidRPr="00094F72" w:rsidRDefault="00825AA3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LysoView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Blue</w:t>
            </w:r>
          </w:p>
        </w:tc>
        <w:tc>
          <w:tcPr>
            <w:tcW w:w="990" w:type="dxa"/>
            <w:vAlign w:val="center"/>
          </w:tcPr>
          <w:p w:rsidR="000848B7" w:rsidRPr="00094F72" w:rsidRDefault="000F3AB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848B7" w:rsidRPr="0009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848B7" w:rsidRPr="00094F72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proofErr w:type="spellEnd"/>
          </w:p>
        </w:tc>
      </w:tr>
      <w:tr w:rsidR="00094F72" w:rsidRPr="001A4846" w:rsidTr="005B24EB">
        <w:trPr>
          <w:trHeight w:val="269"/>
        </w:trPr>
        <w:tc>
          <w:tcPr>
            <w:tcW w:w="1710" w:type="dxa"/>
            <w:vAlign w:val="center"/>
          </w:tcPr>
          <w:p w:rsidR="00094F72" w:rsidRPr="00094F72" w:rsidRDefault="00094F72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>C0</w:t>
            </w:r>
            <w:r w:rsidR="000F3AB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25AA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:rsidR="00094F72" w:rsidRPr="00094F72" w:rsidRDefault="00825AA3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LysoView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990" w:type="dxa"/>
            <w:vAlign w:val="center"/>
          </w:tcPr>
          <w:p w:rsidR="00094F72" w:rsidRPr="00094F72" w:rsidRDefault="004E131D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F72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 w:rsidRPr="00094F72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F3ABF">
              <w:rPr>
                <w:rFonts w:ascii="Arial" w:hAnsi="Arial" w:cs="Arial"/>
                <w:b/>
                <w:sz w:val="16"/>
                <w:szCs w:val="16"/>
              </w:rPr>
              <w:t>L</w:t>
            </w:r>
            <w:proofErr w:type="spellEnd"/>
          </w:p>
        </w:tc>
      </w:tr>
    </w:tbl>
    <w:p w:rsidR="001A4846" w:rsidRPr="001A4846" w:rsidRDefault="00A53DD2" w:rsidP="00216D36">
      <w:pPr>
        <w:rPr>
          <w:rFonts w:ascii="Arial" w:hAnsi="Arial" w:cs="Arial"/>
          <w:b/>
          <w:szCs w:val="20"/>
        </w:rPr>
      </w:pPr>
      <w:r w:rsidRPr="00A53DD2">
        <w:rPr>
          <w:rFonts w:ascii="Arial" w:hAnsi="Arial" w:cs="Arial"/>
          <w:b/>
          <w:noProof/>
          <w:sz w:val="24"/>
          <w:lang w:eastAsia="zh-CN"/>
        </w:rPr>
        <w:pict>
          <v:shape id="_x0000_s1066" type="#_x0000_t202" style="position:absolute;margin-left:1.25pt;margin-top:7.8pt;width:212.6pt;height:46.3pt;z-index:251656704;mso-position-horizontal-relative:text;mso-position-vertical-relative:text">
            <v:shadow opacity=".5" offset="6pt,6pt"/>
            <v:textbox style="mso-next-textbox:#_x0000_s1066">
              <w:txbxContent>
                <w:p w:rsidR="00216D36" w:rsidRPr="001A4846" w:rsidRDefault="00216D36" w:rsidP="00216D36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Storage upon receipt:</w:t>
                  </w:r>
                </w:p>
                <w:p w:rsidR="00216D36" w:rsidRDefault="001A4846" w:rsidP="00216D3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-2</w:t>
                  </w:r>
                  <w:r w:rsidR="008A612A">
                    <w:rPr>
                      <w:rFonts w:ascii="Arial" w:hAnsi="Arial" w:cs="Arial"/>
                      <w:szCs w:val="20"/>
                    </w:rPr>
                    <w:t>0</w:t>
                  </w:r>
                  <w:r w:rsidR="00216D36" w:rsidRPr="001A4846">
                    <w:rPr>
                      <w:rFonts w:ascii="Arial" w:hAnsi="Arial" w:cs="Arial"/>
                      <w:szCs w:val="20"/>
                    </w:rPr>
                    <w:t>°C</w:t>
                  </w:r>
                </w:p>
                <w:p w:rsidR="002530AF" w:rsidRPr="001A4846" w:rsidRDefault="002530AF" w:rsidP="002530A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 w:rsidRPr="001A4846">
                    <w:rPr>
                      <w:rFonts w:ascii="Arial" w:hAnsi="Arial" w:cs="Arial"/>
                      <w:szCs w:val="20"/>
                    </w:rPr>
                    <w:t>Protect from light</w:t>
                  </w:r>
                </w:p>
              </w:txbxContent>
            </v:textbox>
          </v:shape>
        </w:pict>
      </w: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45372F" w:rsidRDefault="0045372F" w:rsidP="00AC48E9">
      <w:pPr>
        <w:spacing w:after="120"/>
        <w:rPr>
          <w:rFonts w:ascii="Arial" w:hAnsi="Arial" w:cs="Arial"/>
          <w:b/>
          <w:szCs w:val="20"/>
        </w:rPr>
      </w:pPr>
    </w:p>
    <w:p w:rsidR="00216D36" w:rsidRPr="001A4846" w:rsidRDefault="00216D36" w:rsidP="00AC48E9">
      <w:pPr>
        <w:spacing w:after="120"/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Product Description</w:t>
      </w:r>
    </w:p>
    <w:p w:rsidR="00825AA3" w:rsidRPr="00825AA3" w:rsidRDefault="00825AA3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proofErr w:type="spellStart"/>
      <w:r>
        <w:rPr>
          <w:rFonts w:ascii="Arial" w:eastAsia="PalatinoLTStd-Roman" w:hAnsi="Arial" w:cs="Arial"/>
          <w:sz w:val="16"/>
          <w:szCs w:val="16"/>
          <w:lang w:eastAsia="zh-CN"/>
        </w:rPr>
        <w:t>LysoView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probes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are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fluorescent pH indicators that partition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into acidic organelles, and allow for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studying the dynamic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aspects of </w:t>
      </w:r>
      <w:proofErr w:type="spellStart"/>
      <w:r>
        <w:rPr>
          <w:rFonts w:ascii="Arial" w:eastAsia="PalatinoLTStd-Roman" w:hAnsi="Arial" w:cs="Arial"/>
          <w:sz w:val="16"/>
          <w:szCs w:val="16"/>
          <w:lang w:eastAsia="zh-CN"/>
        </w:rPr>
        <w:t>lysosome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biogenesis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and function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in live cells</w:t>
      </w:r>
      <w:r>
        <w:rPr>
          <w:rFonts w:ascii="Arial" w:eastAsia="PalatinoLTStd-Roman" w:hAnsi="Arial" w:cs="Arial"/>
          <w:sz w:val="16"/>
          <w:szCs w:val="16"/>
          <w:lang w:eastAsia="zh-CN"/>
        </w:rPr>
        <w:t>.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The </w:t>
      </w:r>
      <w:proofErr w:type="spellStart"/>
      <w:r>
        <w:rPr>
          <w:rFonts w:ascii="Arial" w:eastAsia="PalatinoLTStd-Roman" w:hAnsi="Arial" w:cs="Arial"/>
          <w:sz w:val="16"/>
          <w:szCs w:val="16"/>
          <w:lang w:eastAsia="zh-CN"/>
        </w:rPr>
        <w:t>LysoView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dyes are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ac</w:t>
      </w:r>
      <w:r>
        <w:rPr>
          <w:rFonts w:ascii="Arial" w:eastAsia="PalatinoLTStd-Roman" w:hAnsi="Arial" w:cs="Arial"/>
          <w:sz w:val="16"/>
          <w:szCs w:val="16"/>
          <w:lang w:eastAsia="zh-CN"/>
        </w:rPr>
        <w:t>idotropic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probes that appear to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accumulate in acidic organelles as the result of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pro</w:t>
      </w:r>
      <w:r>
        <w:rPr>
          <w:rFonts w:ascii="Arial" w:eastAsia="PalatinoLTStd-Roman" w:hAnsi="Arial" w:cs="Arial"/>
          <w:sz w:val="16"/>
          <w:szCs w:val="16"/>
          <w:lang w:eastAsia="zh-CN"/>
        </w:rPr>
        <w:t>tonation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. This </w:t>
      </w:r>
      <w:proofErr w:type="spellStart"/>
      <w:r>
        <w:rPr>
          <w:rFonts w:ascii="Arial" w:eastAsia="PalatinoLTStd-Roman" w:hAnsi="Arial" w:cs="Arial"/>
          <w:sz w:val="16"/>
          <w:szCs w:val="16"/>
          <w:lang w:eastAsia="zh-CN"/>
        </w:rPr>
        <w:t>protonation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also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relieves the fluorescence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quenching of the dye by its weak base side chain, resulting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in an incr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ease in fluorescence intensity.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Thus, the </w:t>
      </w:r>
      <w:proofErr w:type="spellStart"/>
      <w:r>
        <w:rPr>
          <w:rFonts w:ascii="Arial" w:eastAsia="PalatinoLTStd-Roman" w:hAnsi="Arial" w:cs="Arial"/>
          <w:sz w:val="16"/>
          <w:szCs w:val="16"/>
          <w:lang w:eastAsia="zh-CN"/>
        </w:rPr>
        <w:t>LysoView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reagents exhibit a pH-dependent increase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in fluorescence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intensity upon acidification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>.</w:t>
      </w:r>
    </w:p>
    <w:p w:rsidR="00825AA3" w:rsidRPr="00825AA3" w:rsidRDefault="00825AA3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These probes can be used singly 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(or potentially in combination)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to investigate the acidificatio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n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of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and alterations of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lysosomal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functi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on or trafficking that occur in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cells. For example,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in some tumor cells have a 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lower pH than normal </w:t>
      </w:r>
      <w:proofErr w:type="spellStart"/>
      <w:r w:rsidR="00DC4BA5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="00DC4BA5">
        <w:rPr>
          <w:rFonts w:ascii="Arial" w:eastAsia="PalatinoLTStd-Roman" w:hAnsi="Arial" w:cs="Arial"/>
          <w:sz w:val="16"/>
          <w:szCs w:val="16"/>
          <w:lang w:eastAsia="zh-CN"/>
        </w:rPr>
        <w:t>,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while other tumor cells contain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with higher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pH.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In addition, cystic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fibrosis and other diseases result in defects in the acid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ification of some intracellular </w:t>
      </w:r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organelles, and the </w:t>
      </w:r>
      <w:proofErr w:type="spellStart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>Lyso</w:t>
      </w:r>
      <w:r w:rsidR="00DC4BA5">
        <w:rPr>
          <w:rFonts w:ascii="Arial" w:eastAsia="PalatinoLTStd-Roman" w:hAnsi="Arial" w:cs="Arial"/>
          <w:sz w:val="16"/>
          <w:szCs w:val="16"/>
          <w:lang w:eastAsia="zh-CN"/>
        </w:rPr>
        <w:t>View</w:t>
      </w:r>
      <w:proofErr w:type="spellEnd"/>
      <w:r w:rsidRPr="00825AA3">
        <w:rPr>
          <w:rFonts w:ascii="Arial" w:eastAsia="PalatinoLTStd-Roman" w:hAnsi="Arial" w:cs="Arial"/>
          <w:sz w:val="16"/>
          <w:szCs w:val="16"/>
          <w:lang w:eastAsia="zh-CN"/>
        </w:rPr>
        <w:t xml:space="preserve"> probes may prove useful in studying these aberrations.</w:t>
      </w:r>
    </w:p>
    <w:p w:rsidR="000F3ABF" w:rsidRPr="00825AA3" w:rsidRDefault="000F3ABF" w:rsidP="00825AA3">
      <w:pPr>
        <w:widowControl/>
        <w:spacing w:after="60"/>
        <w:rPr>
          <w:rFonts w:ascii="Arial" w:hAnsi="Arial" w:cs="Arial"/>
          <w:color w:val="231F20"/>
          <w:sz w:val="16"/>
          <w:szCs w:val="16"/>
          <w:lang w:eastAsia="zh-CN"/>
        </w:rPr>
      </w:pPr>
    </w:p>
    <w:p w:rsidR="006411CB" w:rsidRPr="00FD6F8E" w:rsidRDefault="006411CB" w:rsidP="006411CB">
      <w:pPr>
        <w:widowControl/>
        <w:spacing w:after="60"/>
        <w:rPr>
          <w:rFonts w:ascii="Arial" w:hAnsi="Arial" w:cs="Arial"/>
          <w:b/>
          <w:bCs/>
          <w:color w:val="231F20"/>
          <w:sz w:val="16"/>
          <w:szCs w:val="16"/>
          <w:lang w:eastAsia="zh-CN"/>
        </w:rPr>
      </w:pPr>
      <w:proofErr w:type="gramStart"/>
      <w:r w:rsidRPr="00FD6F8E">
        <w:rPr>
          <w:rFonts w:ascii="Arial" w:hAnsi="Arial" w:cs="Arial"/>
          <w:b/>
          <w:bCs/>
          <w:color w:val="231F20"/>
          <w:sz w:val="16"/>
          <w:szCs w:val="16"/>
          <w:lang w:eastAsia="zh-CN"/>
        </w:rPr>
        <w:t>Table.</w:t>
      </w:r>
      <w:proofErr w:type="gramEnd"/>
      <w:r w:rsidRPr="00FD6F8E">
        <w:rPr>
          <w:rFonts w:ascii="Arial" w:hAnsi="Arial" w:cs="Arial"/>
          <w:b/>
          <w:bCs/>
          <w:color w:val="231F20"/>
          <w:sz w:val="16"/>
          <w:szCs w:val="16"/>
          <w:lang w:eastAsia="zh-CN"/>
        </w:rPr>
        <w:t xml:space="preserve"> </w:t>
      </w:r>
      <w:r w:rsidRPr="00FD6F8E">
        <w:rPr>
          <w:rFonts w:ascii="Arial" w:eastAsia="MyriadPro-Regular" w:hAnsi="Arial" w:cs="Arial"/>
          <w:color w:val="231F20"/>
          <w:sz w:val="16"/>
          <w:szCs w:val="16"/>
          <w:lang w:eastAsia="zh-CN"/>
        </w:rPr>
        <w:t>Spectral characteristic</w:t>
      </w:r>
      <w:r>
        <w:rPr>
          <w:rFonts w:ascii="Arial" w:eastAsia="MyriadPro-Regular" w:hAnsi="Arial" w:cs="Arial"/>
          <w:color w:val="231F20"/>
          <w:sz w:val="16"/>
          <w:szCs w:val="16"/>
          <w:lang w:eastAsia="zh-CN"/>
        </w:rPr>
        <w:t xml:space="preserve">s of the </w:t>
      </w:r>
      <w:proofErr w:type="spellStart"/>
      <w:r w:rsidR="004221AB">
        <w:rPr>
          <w:rFonts w:ascii="Arial" w:eastAsia="MyriadPro-Regular" w:hAnsi="Arial" w:cs="Arial"/>
          <w:color w:val="231F20"/>
          <w:sz w:val="16"/>
          <w:szCs w:val="16"/>
          <w:lang w:eastAsia="zh-CN"/>
        </w:rPr>
        <w:t>Lyso</w:t>
      </w:r>
      <w:r>
        <w:rPr>
          <w:rFonts w:ascii="Arial" w:eastAsia="MyriadPro-Regular" w:hAnsi="Arial" w:cs="Arial"/>
          <w:color w:val="231F20"/>
          <w:sz w:val="16"/>
          <w:szCs w:val="16"/>
          <w:lang w:eastAsia="zh-CN"/>
        </w:rPr>
        <w:t>View</w:t>
      </w:r>
      <w:proofErr w:type="spellEnd"/>
      <w:r w:rsidRPr="00FD6F8E">
        <w:rPr>
          <w:rFonts w:ascii="Arial" w:eastAsia="MyriadPro-Regular" w:hAnsi="Arial" w:cs="Arial"/>
          <w:color w:val="231F20"/>
          <w:sz w:val="16"/>
          <w:szCs w:val="16"/>
          <w:lang w:eastAsia="zh-CN"/>
        </w:rPr>
        <w:t xml:space="preserve"> probes</w:t>
      </w:r>
    </w:p>
    <w:tbl>
      <w:tblPr>
        <w:tblW w:w="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990"/>
        <w:gridCol w:w="990"/>
        <w:gridCol w:w="810"/>
      </w:tblGrid>
      <w:tr w:rsidR="004221AB" w:rsidRPr="001A4846" w:rsidTr="005B24EB">
        <w:trPr>
          <w:trHeight w:val="323"/>
        </w:trPr>
        <w:tc>
          <w:tcPr>
            <w:tcW w:w="1620" w:type="dxa"/>
            <w:vAlign w:val="center"/>
          </w:tcPr>
          <w:p w:rsidR="004221AB" w:rsidRPr="001A4846" w:rsidRDefault="004221AB" w:rsidP="005B24E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Product Name</w:t>
            </w:r>
          </w:p>
        </w:tc>
        <w:tc>
          <w:tcPr>
            <w:tcW w:w="990" w:type="dxa"/>
            <w:vAlign w:val="center"/>
          </w:tcPr>
          <w:p w:rsidR="004221AB" w:rsidRPr="001A4846" w:rsidRDefault="004221AB" w:rsidP="005B24E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5B24EB">
              <w:rPr>
                <w:rFonts w:ascii="Arial" w:hAnsi="Arial" w:cs="Arial"/>
                <w:b/>
                <w:szCs w:val="20"/>
                <w:vertAlign w:val="subscript"/>
              </w:rPr>
              <w:t>x</w:t>
            </w:r>
            <w:r>
              <w:rPr>
                <w:rFonts w:ascii="Arial" w:hAnsi="Arial" w:cs="Arial"/>
                <w:b/>
                <w:szCs w:val="20"/>
              </w:rPr>
              <w:t xml:space="preserve"> (nm)</w:t>
            </w:r>
          </w:p>
        </w:tc>
        <w:tc>
          <w:tcPr>
            <w:tcW w:w="990" w:type="dxa"/>
            <w:vAlign w:val="center"/>
          </w:tcPr>
          <w:p w:rsidR="004221AB" w:rsidRPr="001A4846" w:rsidRDefault="004221AB" w:rsidP="005B24EB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E</w:t>
            </w:r>
            <w:r w:rsidRPr="005B24EB">
              <w:rPr>
                <w:rFonts w:ascii="Arial" w:hAnsi="Arial" w:cs="Arial"/>
                <w:b/>
                <w:szCs w:val="20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(nm)</w:t>
            </w:r>
          </w:p>
        </w:tc>
        <w:tc>
          <w:tcPr>
            <w:tcW w:w="810" w:type="dxa"/>
            <w:vAlign w:val="center"/>
          </w:tcPr>
          <w:p w:rsidR="004221AB" w:rsidRPr="001A4846" w:rsidRDefault="0045372F" w:rsidP="005B24EB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pKa</w:t>
            </w:r>
            <w:proofErr w:type="spellEnd"/>
          </w:p>
        </w:tc>
      </w:tr>
      <w:tr w:rsidR="0045372F" w:rsidRPr="00094F72" w:rsidTr="005B24EB">
        <w:trPr>
          <w:trHeight w:val="260"/>
        </w:trPr>
        <w:tc>
          <w:tcPr>
            <w:tcW w:w="162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LysoView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Blue</w:t>
            </w:r>
          </w:p>
        </w:tc>
        <w:tc>
          <w:tcPr>
            <w:tcW w:w="99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373</w:t>
            </w:r>
          </w:p>
        </w:tc>
        <w:tc>
          <w:tcPr>
            <w:tcW w:w="99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425</w:t>
            </w:r>
          </w:p>
        </w:tc>
        <w:tc>
          <w:tcPr>
            <w:tcW w:w="81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</w:tr>
      <w:tr w:rsidR="0045372F" w:rsidRPr="00094F72" w:rsidTr="005B24EB">
        <w:trPr>
          <w:trHeight w:val="269"/>
        </w:trPr>
        <w:tc>
          <w:tcPr>
            <w:tcW w:w="162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LysoView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99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443</w:t>
            </w:r>
          </w:p>
        </w:tc>
        <w:tc>
          <w:tcPr>
            <w:tcW w:w="99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505</w:t>
            </w:r>
          </w:p>
        </w:tc>
        <w:tc>
          <w:tcPr>
            <w:tcW w:w="810" w:type="dxa"/>
            <w:vAlign w:val="center"/>
          </w:tcPr>
          <w:p w:rsidR="0045372F" w:rsidRPr="00094F72" w:rsidRDefault="0045372F" w:rsidP="005B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</w:tc>
      </w:tr>
    </w:tbl>
    <w:p w:rsidR="000F3ABF" w:rsidRDefault="000F3ABF" w:rsidP="000F3ABF">
      <w:pPr>
        <w:widowControl/>
        <w:rPr>
          <w:rFonts w:ascii="Arial" w:hAnsi="Arial" w:cs="Arial"/>
          <w:color w:val="231F20"/>
          <w:sz w:val="16"/>
          <w:szCs w:val="16"/>
          <w:lang w:eastAsia="zh-CN"/>
        </w:rPr>
      </w:pPr>
    </w:p>
    <w:p w:rsidR="00C3096A" w:rsidRPr="0045372F" w:rsidRDefault="00DC4BA5" w:rsidP="0045372F">
      <w:pPr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45372F">
        <w:rPr>
          <w:rFonts w:ascii="Arial" w:hAnsi="Arial" w:cs="Arial"/>
          <w:b/>
          <w:szCs w:val="20"/>
          <w:lang w:eastAsia="zh-CN"/>
        </w:rPr>
        <w:t>Guidelines for Use</w:t>
      </w:r>
    </w:p>
    <w:p w:rsidR="006411CB" w:rsidRPr="005B24EB" w:rsidRDefault="006A1282" w:rsidP="0045372F">
      <w:pPr>
        <w:widowControl/>
        <w:spacing w:after="60"/>
        <w:rPr>
          <w:rFonts w:ascii="Arial" w:hAnsi="Arial" w:cs="Arial"/>
          <w:b/>
          <w:bCs/>
          <w:color w:val="000000" w:themeColor="text1"/>
          <w:sz w:val="16"/>
          <w:szCs w:val="16"/>
          <w:lang w:eastAsia="zh-CN"/>
        </w:rPr>
      </w:pPr>
      <w:r w:rsidRPr="005B24EB">
        <w:rPr>
          <w:rFonts w:ascii="Arial" w:hAnsi="Arial" w:cs="Arial"/>
          <w:b/>
          <w:bCs/>
          <w:color w:val="000000" w:themeColor="text1"/>
          <w:sz w:val="16"/>
          <w:szCs w:val="16"/>
          <w:lang w:eastAsia="zh-CN"/>
        </w:rPr>
        <w:t>Cell Preparation and Stain</w:t>
      </w:r>
      <w:r w:rsidR="006411CB" w:rsidRPr="005B24EB">
        <w:rPr>
          <w:rFonts w:ascii="Arial" w:hAnsi="Arial" w:cs="Arial"/>
          <w:b/>
          <w:bCs/>
          <w:color w:val="000000" w:themeColor="text1"/>
          <w:sz w:val="16"/>
          <w:szCs w:val="16"/>
          <w:lang w:eastAsia="zh-CN"/>
        </w:rPr>
        <w:t>ing</w:t>
      </w:r>
    </w:p>
    <w:p w:rsidR="00DC4BA5" w:rsidRPr="00DC4BA5" w:rsidRDefault="00DC4BA5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Before opening, allow the vial to warm to room temperat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ure and then briefly centrifuge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 xml:space="preserve">the vial in a </w:t>
      </w:r>
      <w:proofErr w:type="spellStart"/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microcentrifuge</w:t>
      </w:r>
      <w:proofErr w:type="spellEnd"/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to deposit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the DMSO solution at the bottom of the vial.</w:t>
      </w:r>
    </w:p>
    <w:p w:rsidR="006A1282" w:rsidRDefault="00DC4BA5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The concentration of probe for optim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al staining will vary depending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on the application.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Here we suggest some initial conditions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to use as a gui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deline. The staining conditions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ma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y need to be modified depending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upon the particular</w:t>
      </w:r>
      <w:r w:rsid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cell type and the permeability </w:t>
      </w:r>
      <w:r w:rsidRPr="00DC4BA5">
        <w:rPr>
          <w:rFonts w:ascii="Arial" w:eastAsia="PalatinoLTStd-Roman" w:hAnsi="Arial" w:cs="Arial"/>
          <w:sz w:val="16"/>
          <w:szCs w:val="16"/>
          <w:lang w:eastAsia="zh-CN"/>
        </w:rPr>
        <w:t>of the cells or tissues to the probe, among other factors.</w:t>
      </w:r>
    </w:p>
    <w:p w:rsidR="004221AB" w:rsidRPr="004221AB" w:rsidRDefault="004221AB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4221AB">
        <w:rPr>
          <w:rFonts w:ascii="Arial" w:hAnsi="Arial" w:cs="Arial"/>
          <w:b/>
          <w:bCs/>
          <w:sz w:val="16"/>
          <w:szCs w:val="16"/>
          <w:lang w:eastAsia="zh-CN"/>
        </w:rPr>
        <w:t xml:space="preserve">1.1 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Dilute the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1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mM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probe stock solution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to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the final working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c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oncen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tration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in the growth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medium or buffer of choice. 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We recommend working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concentrations at least 1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μM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.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To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reduce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potential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artifacts from overloading, the concentration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of dye should be kept as low as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possible.</w:t>
      </w:r>
    </w:p>
    <w:p w:rsidR="004221AB" w:rsidRPr="004221AB" w:rsidRDefault="004221AB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4221AB">
        <w:rPr>
          <w:rFonts w:ascii="Arial" w:hAnsi="Arial" w:cs="Arial"/>
          <w:b/>
          <w:bCs/>
          <w:sz w:val="16"/>
          <w:szCs w:val="16"/>
          <w:lang w:eastAsia="zh-CN"/>
        </w:rPr>
        <w:lastRenderedPageBreak/>
        <w:t xml:space="preserve">Note: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If the cells are incubated in dye-free medium after staining, we often observe a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decrease in fluorescent signal and cell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blebbing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>.</w:t>
      </w:r>
    </w:p>
    <w:p w:rsidR="004221AB" w:rsidRPr="004221AB" w:rsidRDefault="004221AB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4221AB">
        <w:rPr>
          <w:rFonts w:ascii="Arial" w:hAnsi="Arial" w:cs="Arial"/>
          <w:b/>
          <w:bCs/>
          <w:sz w:val="16"/>
          <w:szCs w:val="16"/>
          <w:lang w:eastAsia="zh-CN"/>
        </w:rPr>
        <w:t xml:space="preserve">1.2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For adherent cells, grow cells on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coverslips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inside a Petri dish filled wi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th the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appropriate culture medium. When cells have reached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the desired confluence, remove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the medium from the dish and add the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pr</w:t>
      </w:r>
      <w:r>
        <w:rPr>
          <w:rFonts w:ascii="Arial" w:eastAsia="PalatinoLTStd-Roman" w:hAnsi="Arial" w:cs="Arial"/>
          <w:sz w:val="16"/>
          <w:szCs w:val="16"/>
          <w:lang w:eastAsia="zh-CN"/>
        </w:rPr>
        <w:t>ewarmed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(37°C) probe-containing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medium.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Incubate the cells for 30 minutes to 2 hours under growth conditions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appropriate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for the particular cell type. Then replace the loading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solution with fresh medium and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observe the cells using a fluoresc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ence microscope fitted with the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correct filter set. If the cells do not appear to be sufficiently stained, we recommend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either increa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sing the labeling concentration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or increasing 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the time allowed for the dye to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accumulate in the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.</w:t>
      </w:r>
    </w:p>
    <w:p w:rsidR="004221AB" w:rsidRPr="004221AB" w:rsidRDefault="004221AB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4221AB">
        <w:rPr>
          <w:rFonts w:ascii="Arial" w:hAnsi="Arial" w:cs="Arial"/>
          <w:b/>
          <w:bCs/>
          <w:sz w:val="16"/>
          <w:szCs w:val="16"/>
          <w:lang w:eastAsia="zh-CN"/>
        </w:rPr>
        <w:t xml:space="preserve">1.3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For suspension cells, centrifuge to ob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tain a cell pellet and aspirate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the supernatant.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Resuspend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the cells gently in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prewarmed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(37°C) probe-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containing medium. Incubate the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cells for 30 minutes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to 2 hours under growth conditions appropriate for the particular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cell type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. Re-pellet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the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cells by centrifugation and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resuspend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in fresh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prew</w:t>
      </w:r>
      <w:r>
        <w:rPr>
          <w:rFonts w:ascii="Arial" w:eastAsia="PalatinoLTStd-Roman" w:hAnsi="Arial" w:cs="Arial"/>
          <w:sz w:val="16"/>
          <w:szCs w:val="16"/>
          <w:lang w:eastAsia="zh-CN"/>
        </w:rPr>
        <w:t>armed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medium. Observe the cells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using a fluorescence microscope fitted with the correct f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ilter set. If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the cells do not appear to be sufficiently stained, we 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recommend either increasing the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labeling concentration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or increasing the time allowed for the dye to accumulate in the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lysosomes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.</w:t>
      </w:r>
    </w:p>
    <w:p w:rsidR="00CB7512" w:rsidRPr="004221AB" w:rsidRDefault="004221AB" w:rsidP="0045372F">
      <w:pPr>
        <w:widowControl/>
        <w:spacing w:after="60"/>
        <w:rPr>
          <w:rFonts w:ascii="Arial" w:eastAsia="PalatinoLTStd-Roman" w:hAnsi="Arial" w:cs="Arial"/>
          <w:sz w:val="16"/>
          <w:szCs w:val="16"/>
          <w:lang w:eastAsia="zh-CN"/>
        </w:rPr>
      </w:pP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Alternatively, suspension cells may be attached to 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co</w:t>
      </w:r>
      <w:r>
        <w:rPr>
          <w:rFonts w:ascii="Arial" w:eastAsia="PalatinoLTStd-Roman" w:hAnsi="Arial" w:cs="Arial"/>
          <w:sz w:val="16"/>
          <w:szCs w:val="16"/>
          <w:lang w:eastAsia="zh-CN"/>
        </w:rPr>
        <w:t>verslips</w:t>
      </w:r>
      <w:proofErr w:type="spellEnd"/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 that have been treated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with BD Cell-</w:t>
      </w:r>
      <w:proofErr w:type="spellStart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Tak</w:t>
      </w:r>
      <w:proofErr w:type="spellEnd"/>
      <w:r w:rsidRPr="004221AB">
        <w:rPr>
          <w:rFonts w:ascii="Arial" w:eastAsia="PalatinoLTStd-Roman" w:hAnsi="Arial" w:cs="Arial"/>
          <w:sz w:val="16"/>
          <w:szCs w:val="16"/>
          <w:lang w:eastAsia="zh-CN"/>
        </w:rPr>
        <w:t xml:space="preserve"> (BD Biosciences) and stained as i</w:t>
      </w:r>
      <w:r>
        <w:rPr>
          <w:rFonts w:ascii="Arial" w:eastAsia="PalatinoLTStd-Roman" w:hAnsi="Arial" w:cs="Arial"/>
          <w:sz w:val="16"/>
          <w:szCs w:val="16"/>
          <w:lang w:eastAsia="zh-CN"/>
        </w:rPr>
        <w:t xml:space="preserve">f they were adherent cells (see </w:t>
      </w:r>
      <w:r w:rsidRPr="004221AB">
        <w:rPr>
          <w:rFonts w:ascii="Arial" w:eastAsia="PalatinoLTStd-Roman" w:hAnsi="Arial" w:cs="Arial"/>
          <w:sz w:val="16"/>
          <w:szCs w:val="16"/>
          <w:lang w:eastAsia="zh-CN"/>
        </w:rPr>
        <w:t>step 1.2).</w:t>
      </w:r>
    </w:p>
    <w:sectPr w:rsidR="00CB7512" w:rsidRPr="004221AB" w:rsidSect="008A612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F8" w:rsidRDefault="004F72F8" w:rsidP="00C0054E">
      <w:r>
        <w:separator/>
      </w:r>
    </w:p>
  </w:endnote>
  <w:endnote w:type="continuationSeparator" w:id="0">
    <w:p w:rsidR="004F72F8" w:rsidRDefault="004F72F8" w:rsidP="00C0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4E" w:rsidRPr="006B34D8" w:rsidRDefault="0045372F" w:rsidP="00611250">
    <w:pPr>
      <w:pStyle w:val="Footer"/>
      <w:pBdr>
        <w:top w:val="thinThickSmallGap" w:sz="24" w:space="0" w:color="622423"/>
      </w:pBdr>
      <w:tabs>
        <w:tab w:val="clear" w:pos="4680"/>
      </w:tabs>
      <w:rPr>
        <w:rFonts w:ascii="Arial" w:hAnsi="Arial" w:cs="Arial"/>
        <w:b/>
        <w:color w:val="000000"/>
        <w:sz w:val="22"/>
        <w:szCs w:val="22"/>
      </w:rPr>
    </w:pPr>
    <w:proofErr w:type="spellStart"/>
    <w:r>
      <w:rPr>
        <w:rFonts w:ascii="Arial" w:hAnsi="Arial" w:cs="Arial"/>
        <w:b/>
        <w:color w:val="000000"/>
        <w:sz w:val="22"/>
        <w:szCs w:val="22"/>
      </w:rPr>
      <w:t>LysoView</w:t>
    </w:r>
    <w:proofErr w:type="spellEnd"/>
    <w:r>
      <w:rPr>
        <w:rFonts w:ascii="Arial" w:hAnsi="Arial" w:cs="Arial"/>
        <w:b/>
        <w:color w:val="000000"/>
        <w:sz w:val="22"/>
        <w:szCs w:val="22"/>
      </w:rPr>
      <w:t xml:space="preserve"> Probes</w:t>
    </w:r>
    <w:r w:rsidR="00C0054E">
      <w:rPr>
        <w:rFonts w:ascii="Cambria" w:hAnsi="Cambria"/>
      </w:rPr>
      <w:tab/>
      <w:t xml:space="preserve">Page </w:t>
    </w:r>
    <w:fldSimple w:instr=" PAGE   \* MERGEFORMAT ">
      <w:r w:rsidR="005B24EB" w:rsidRPr="005B24EB">
        <w:rPr>
          <w:rFonts w:ascii="Cambria" w:hAnsi="Cambria"/>
          <w:noProof/>
        </w:rPr>
        <w:t>1</w:t>
      </w:r>
    </w:fldSimple>
  </w:p>
  <w:p w:rsidR="00C0054E" w:rsidRDefault="00C00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F8" w:rsidRDefault="004F72F8" w:rsidP="00C0054E">
      <w:r>
        <w:separator/>
      </w:r>
    </w:p>
  </w:footnote>
  <w:footnote w:type="continuationSeparator" w:id="0">
    <w:p w:rsidR="004F72F8" w:rsidRDefault="004F72F8" w:rsidP="00C0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45"/>
    <w:multiLevelType w:val="hybridMultilevel"/>
    <w:tmpl w:val="9EA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CFB"/>
    <w:multiLevelType w:val="hybridMultilevel"/>
    <w:tmpl w:val="829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4E1"/>
    <w:multiLevelType w:val="hybridMultilevel"/>
    <w:tmpl w:val="891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36C9"/>
    <w:multiLevelType w:val="hybridMultilevel"/>
    <w:tmpl w:val="3DF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3C7A"/>
    <w:multiLevelType w:val="hybridMultilevel"/>
    <w:tmpl w:val="CE5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4CB"/>
    <w:multiLevelType w:val="hybridMultilevel"/>
    <w:tmpl w:val="C37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B6F"/>
    <w:multiLevelType w:val="hybridMultilevel"/>
    <w:tmpl w:val="BEFC7AAE"/>
    <w:lvl w:ilvl="0" w:tplc="EFECF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A4F73CF"/>
    <w:multiLevelType w:val="hybridMultilevel"/>
    <w:tmpl w:val="933289BA"/>
    <w:lvl w:ilvl="0" w:tplc="E63A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B17723F"/>
    <w:multiLevelType w:val="hybridMultilevel"/>
    <w:tmpl w:val="35DA374E"/>
    <w:lvl w:ilvl="0" w:tplc="9DD6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>
      <o:colormenu v:ext="edit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73D8E"/>
    <w:rsid w:val="00004E40"/>
    <w:rsid w:val="000246CD"/>
    <w:rsid w:val="00034525"/>
    <w:rsid w:val="00037151"/>
    <w:rsid w:val="0004383B"/>
    <w:rsid w:val="0004746F"/>
    <w:rsid w:val="00070862"/>
    <w:rsid w:val="000848B7"/>
    <w:rsid w:val="00094F72"/>
    <w:rsid w:val="000D76FC"/>
    <w:rsid w:val="000F3ABF"/>
    <w:rsid w:val="00173D8E"/>
    <w:rsid w:val="001A4846"/>
    <w:rsid w:val="001D0E17"/>
    <w:rsid w:val="001E4370"/>
    <w:rsid w:val="00200208"/>
    <w:rsid w:val="00216D36"/>
    <w:rsid w:val="002530AF"/>
    <w:rsid w:val="00280E64"/>
    <w:rsid w:val="00284E6F"/>
    <w:rsid w:val="0030483D"/>
    <w:rsid w:val="00305DE0"/>
    <w:rsid w:val="003504D2"/>
    <w:rsid w:val="003938FF"/>
    <w:rsid w:val="003A43C0"/>
    <w:rsid w:val="003A7E49"/>
    <w:rsid w:val="003B44D7"/>
    <w:rsid w:val="004221AB"/>
    <w:rsid w:val="00437C7C"/>
    <w:rsid w:val="0045372F"/>
    <w:rsid w:val="004B080E"/>
    <w:rsid w:val="004D3864"/>
    <w:rsid w:val="004E131D"/>
    <w:rsid w:val="004F608C"/>
    <w:rsid w:val="004F72F8"/>
    <w:rsid w:val="00511AE6"/>
    <w:rsid w:val="00524FBB"/>
    <w:rsid w:val="00525067"/>
    <w:rsid w:val="005253FE"/>
    <w:rsid w:val="0052786E"/>
    <w:rsid w:val="005A498F"/>
    <w:rsid w:val="005A65A3"/>
    <w:rsid w:val="005B24EB"/>
    <w:rsid w:val="005E637D"/>
    <w:rsid w:val="00611250"/>
    <w:rsid w:val="00615E87"/>
    <w:rsid w:val="006300E8"/>
    <w:rsid w:val="006411CB"/>
    <w:rsid w:val="00647C68"/>
    <w:rsid w:val="00694717"/>
    <w:rsid w:val="006A1282"/>
    <w:rsid w:val="006B3292"/>
    <w:rsid w:val="006B34D8"/>
    <w:rsid w:val="006B3810"/>
    <w:rsid w:val="006B476C"/>
    <w:rsid w:val="00721946"/>
    <w:rsid w:val="0072766B"/>
    <w:rsid w:val="007346DC"/>
    <w:rsid w:val="00754EF6"/>
    <w:rsid w:val="00782D34"/>
    <w:rsid w:val="007953C9"/>
    <w:rsid w:val="007B2D71"/>
    <w:rsid w:val="007C3F8B"/>
    <w:rsid w:val="007D022E"/>
    <w:rsid w:val="00812CAB"/>
    <w:rsid w:val="0082113D"/>
    <w:rsid w:val="00825AA3"/>
    <w:rsid w:val="00832967"/>
    <w:rsid w:val="00853661"/>
    <w:rsid w:val="00855F4F"/>
    <w:rsid w:val="00863383"/>
    <w:rsid w:val="008A1F08"/>
    <w:rsid w:val="008A612A"/>
    <w:rsid w:val="008D5C46"/>
    <w:rsid w:val="008E08D2"/>
    <w:rsid w:val="008E610D"/>
    <w:rsid w:val="008F7BB6"/>
    <w:rsid w:val="0091186F"/>
    <w:rsid w:val="00914FB1"/>
    <w:rsid w:val="00927155"/>
    <w:rsid w:val="00972671"/>
    <w:rsid w:val="00976B17"/>
    <w:rsid w:val="00985EEF"/>
    <w:rsid w:val="00986553"/>
    <w:rsid w:val="00993216"/>
    <w:rsid w:val="009C5F3A"/>
    <w:rsid w:val="009D640E"/>
    <w:rsid w:val="009F095E"/>
    <w:rsid w:val="009F45EB"/>
    <w:rsid w:val="00A01F37"/>
    <w:rsid w:val="00A53DD2"/>
    <w:rsid w:val="00A61958"/>
    <w:rsid w:val="00A83BA7"/>
    <w:rsid w:val="00AC48E9"/>
    <w:rsid w:val="00AE7644"/>
    <w:rsid w:val="00B16755"/>
    <w:rsid w:val="00B3574F"/>
    <w:rsid w:val="00B3687E"/>
    <w:rsid w:val="00B538F8"/>
    <w:rsid w:val="00B546F6"/>
    <w:rsid w:val="00B607C3"/>
    <w:rsid w:val="00B76443"/>
    <w:rsid w:val="00B95137"/>
    <w:rsid w:val="00BB0870"/>
    <w:rsid w:val="00BC0734"/>
    <w:rsid w:val="00BC312A"/>
    <w:rsid w:val="00BD1DF5"/>
    <w:rsid w:val="00C0054E"/>
    <w:rsid w:val="00C3096A"/>
    <w:rsid w:val="00CA786E"/>
    <w:rsid w:val="00CB27E2"/>
    <w:rsid w:val="00CB7512"/>
    <w:rsid w:val="00CD0024"/>
    <w:rsid w:val="00CD545E"/>
    <w:rsid w:val="00CF24F5"/>
    <w:rsid w:val="00D13A98"/>
    <w:rsid w:val="00D57940"/>
    <w:rsid w:val="00D968B4"/>
    <w:rsid w:val="00DB0920"/>
    <w:rsid w:val="00DB4A36"/>
    <w:rsid w:val="00DC06CB"/>
    <w:rsid w:val="00DC4BA5"/>
    <w:rsid w:val="00DC7CD5"/>
    <w:rsid w:val="00DD76DA"/>
    <w:rsid w:val="00E534A8"/>
    <w:rsid w:val="00E80F57"/>
    <w:rsid w:val="00ED0D68"/>
    <w:rsid w:val="00F12CDC"/>
    <w:rsid w:val="00F2259D"/>
    <w:rsid w:val="00F41B24"/>
    <w:rsid w:val="00F64186"/>
    <w:rsid w:val="00F753E1"/>
    <w:rsid w:val="00F90E3F"/>
    <w:rsid w:val="00F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A3"/>
    <w:pPr>
      <w:widowControl w:val="0"/>
      <w:autoSpaceDE w:val="0"/>
      <w:autoSpaceDN w:val="0"/>
      <w:adjustRightInd w:val="0"/>
    </w:pPr>
    <w:rPr>
      <w:rFonts w:ascii="Courier" w:hAnsi="Courier"/>
      <w:szCs w:val="24"/>
      <w:lang w:eastAsia="en-US"/>
    </w:rPr>
  </w:style>
  <w:style w:type="paragraph" w:styleId="Heading1">
    <w:name w:val="heading 1"/>
    <w:basedOn w:val="Normal"/>
    <w:next w:val="Normal"/>
    <w:qFormat/>
    <w:rsid w:val="005A65A3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65A3"/>
  </w:style>
  <w:style w:type="character" w:customStyle="1" w:styleId="productlargeclass">
    <w:name w:val="productlargeclass"/>
    <w:basedOn w:val="DefaultParagraphFont"/>
    <w:rsid w:val="005A65A3"/>
  </w:style>
  <w:style w:type="character" w:customStyle="1" w:styleId="ahead">
    <w:name w:val="ahead"/>
    <w:basedOn w:val="DefaultParagraphFont"/>
    <w:rsid w:val="005A65A3"/>
  </w:style>
  <w:style w:type="character" w:customStyle="1" w:styleId="productboldclassproductlargeclass">
    <w:name w:val="productboldclass productlargeclass"/>
    <w:basedOn w:val="DefaultParagraphFont"/>
    <w:rsid w:val="005A65A3"/>
  </w:style>
  <w:style w:type="character" w:styleId="Hyperlink">
    <w:name w:val="Hyperlink"/>
    <w:basedOn w:val="DefaultParagraphFont"/>
    <w:semiHidden/>
    <w:rsid w:val="005A65A3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semiHidden/>
    <w:rsid w:val="005A65A3"/>
    <w:pPr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1A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CB27E2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0">
    <w:name w:val="A0"/>
    <w:uiPriority w:val="99"/>
    <w:rsid w:val="00CB27E2"/>
    <w:rPr>
      <w:rFonts w:cs="Arial Narrow"/>
      <w:color w:val="211D1E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8E610D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1">
    <w:name w:val="A1"/>
    <w:uiPriority w:val="99"/>
    <w:rsid w:val="00ED0D68"/>
    <w:rPr>
      <w:rFonts w:cs="Arial Narrow"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semiHidden/>
    <w:unhideWhenUsed/>
    <w:rsid w:val="00C0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4E"/>
    <w:rPr>
      <w:rFonts w:ascii="Courier" w:hAnsi="Courier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E"/>
    <w:rPr>
      <w:rFonts w:ascii="Courier" w:hAnsi="Courier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6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163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4" w:space="6" w:color="ADAFAF"/>
                            <w:bottom w:val="single" w:sz="4" w:space="6" w:color="ADAFAF"/>
                            <w:right w:val="single" w:sz="4" w:space="6" w:color="ADAFAF"/>
                          </w:divBdr>
                          <w:divsChild>
                            <w:div w:id="16072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0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80828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MARKER GENE TECHNOLOGIES, Inc</vt:lpstr>
    </vt:vector>
  </TitlesOfParts>
  <Company>Marker Gene Technologies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MARKER GENE TECHNOLOGIES, Inc</dc:title>
  <dc:subject/>
  <dc:creator>COMPAQ</dc:creator>
  <cp:keywords/>
  <cp:lastModifiedBy>lqying</cp:lastModifiedBy>
  <cp:revision>4</cp:revision>
  <cp:lastPrinted>2012-12-08T10:25:00Z</cp:lastPrinted>
  <dcterms:created xsi:type="dcterms:W3CDTF">2014-08-22T03:16:00Z</dcterms:created>
  <dcterms:modified xsi:type="dcterms:W3CDTF">2014-10-13T11:54:00Z</dcterms:modified>
</cp:coreProperties>
</file>